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5FF" w:rsidRDefault="00F915FF" w:rsidP="00F915FF">
      <w:pPr>
        <w:pStyle w:val="Heading1"/>
        <w:numPr>
          <w:ilvl w:val="0"/>
          <w:numId w:val="0"/>
        </w:numPr>
        <w:rPr>
          <w:rFonts w:eastAsiaTheme="minorHAnsi"/>
        </w:rPr>
      </w:pPr>
      <w:bookmarkStart w:id="0" w:name="_Ref307581844"/>
      <w:r>
        <w:rPr>
          <w:rFonts w:eastAsiaTheme="minorHAnsi"/>
        </w:rPr>
        <w:t>Appendix A-5</w:t>
      </w:r>
      <w:bookmarkEnd w:id="0"/>
    </w:p>
    <w:p w:rsidR="00F915FF" w:rsidRDefault="00F915FF" w:rsidP="00F915FF">
      <w:pPr>
        <w:pStyle w:val="Heading1"/>
        <w:numPr>
          <w:ilvl w:val="0"/>
          <w:numId w:val="0"/>
        </w:numPr>
        <w:rPr>
          <w:rFonts w:eastAsiaTheme="minorHAnsi"/>
        </w:rPr>
      </w:pPr>
      <w:r>
        <w:rPr>
          <w:rFonts w:eastAsiaTheme="minorHAnsi"/>
        </w:rPr>
        <w:t>Residential HVAC</w:t>
      </w:r>
    </w:p>
    <w:p w:rsidR="00B253DF" w:rsidRPr="000073BE" w:rsidRDefault="00F915FF" w:rsidP="00F915FF">
      <w:pPr>
        <w:pStyle w:val="Caption"/>
        <w:rPr>
          <w:rFonts w:eastAsiaTheme="minorHAnsi"/>
        </w:rPr>
      </w:pPr>
      <w:r>
        <w:t>Table A-5-</w:t>
      </w:r>
      <w:fldSimple w:instr=" SEQ Table \* ARABIC ">
        <w:r>
          <w:rPr>
            <w:noProof/>
          </w:rPr>
          <w:t>1</w:t>
        </w:r>
      </w:fldSimple>
      <w:r>
        <w:t xml:space="preserve">: </w:t>
      </w:r>
      <w:r w:rsidR="004C4005" w:rsidRPr="000073BE">
        <w:rPr>
          <w:rFonts w:eastAsiaTheme="minorHAnsi"/>
        </w:rPr>
        <w:t>O</w:t>
      </w:r>
      <w:r w:rsidR="0050194C" w:rsidRPr="000073BE">
        <w:rPr>
          <w:rFonts w:eastAsiaTheme="minorHAnsi"/>
        </w:rPr>
        <w:t>ver</w:t>
      </w:r>
      <w:r w:rsidR="00B35D0F" w:rsidRPr="000073BE">
        <w:rPr>
          <w:rFonts w:eastAsiaTheme="minorHAnsi"/>
        </w:rPr>
        <w:t>view of Methods, Data, and NTGR Results</w:t>
      </w:r>
    </w:p>
    <w:tbl>
      <w:tblPr>
        <w:tblStyle w:val="TableProfessional"/>
        <w:tblW w:w="5000" w:type="pct"/>
        <w:tblLayout w:type="fixed"/>
        <w:tblLook w:val="04A0"/>
      </w:tblPr>
      <w:tblGrid>
        <w:gridCol w:w="1368"/>
        <w:gridCol w:w="1262"/>
        <w:gridCol w:w="1170"/>
        <w:gridCol w:w="2069"/>
        <w:gridCol w:w="2340"/>
        <w:gridCol w:w="2340"/>
        <w:gridCol w:w="2627"/>
      </w:tblGrid>
      <w:tr w:rsidR="004812E2" w:rsidRPr="00FE73B0" w:rsidTr="000073BE">
        <w:trPr>
          <w:cnfStyle w:val="100000000000"/>
          <w:cantSplit/>
          <w:trHeight w:val="206"/>
          <w:tblHeader/>
        </w:trPr>
        <w:tc>
          <w:tcPr>
            <w:tcW w:w="5000" w:type="pct"/>
            <w:gridSpan w:val="7"/>
            <w:tcBorders>
              <w:top w:val="single" w:sz="12" w:space="0" w:color="000000"/>
              <w:left w:val="single" w:sz="12" w:space="0" w:color="000000"/>
              <w:bottom w:val="single" w:sz="4" w:space="0" w:color="auto"/>
              <w:right w:val="single" w:sz="12" w:space="0" w:color="000000"/>
            </w:tcBorders>
            <w:shd w:val="solid" w:color="D9D9D9" w:themeColor="background1" w:themeShade="D9" w:fill="D9D9D9" w:themeFill="background1" w:themeFillShade="D9"/>
          </w:tcPr>
          <w:p w:rsidR="004812E2" w:rsidRPr="00FE73B0" w:rsidRDefault="001F5D99" w:rsidP="00094F25">
            <w:pPr>
              <w:keepNext/>
              <w:spacing w:before="120" w:after="120" w:line="240" w:lineRule="auto"/>
              <w:jc w:val="center"/>
              <w:rPr>
                <w:sz w:val="20"/>
                <w:szCs w:val="16"/>
              </w:rPr>
            </w:pPr>
            <w:r>
              <w:rPr>
                <w:sz w:val="20"/>
                <w:szCs w:val="16"/>
              </w:rPr>
              <w:t>DEER Update</w:t>
            </w:r>
            <w:r w:rsidR="00094F25">
              <w:rPr>
                <w:sz w:val="20"/>
                <w:szCs w:val="16"/>
              </w:rPr>
              <w:t xml:space="preserve"> Technology Group 8</w:t>
            </w:r>
            <w:r w:rsidR="004812E2" w:rsidRPr="00FE73B0">
              <w:rPr>
                <w:sz w:val="20"/>
                <w:szCs w:val="16"/>
              </w:rPr>
              <w:t xml:space="preserve"> – </w:t>
            </w:r>
            <w:r w:rsidR="00094F25">
              <w:rPr>
                <w:sz w:val="20"/>
                <w:szCs w:val="16"/>
              </w:rPr>
              <w:t>Residential</w:t>
            </w:r>
            <w:r w:rsidR="004812E2" w:rsidRPr="00FE73B0">
              <w:rPr>
                <w:sz w:val="20"/>
                <w:szCs w:val="16"/>
              </w:rPr>
              <w:t xml:space="preserve"> HVAC Systems and Building Envelope</w:t>
            </w:r>
          </w:p>
        </w:tc>
      </w:tr>
      <w:tr w:rsidR="004812E2" w:rsidRPr="007C77E4" w:rsidTr="000073BE">
        <w:trPr>
          <w:cnfStyle w:val="100000000000"/>
          <w:cantSplit/>
          <w:trHeight w:val="206"/>
          <w:tblHeader/>
        </w:trPr>
        <w:tc>
          <w:tcPr>
            <w:tcW w:w="519" w:type="pct"/>
            <w:tcBorders>
              <w:top w:val="single" w:sz="4" w:space="0" w:color="auto"/>
              <w:left w:val="single" w:sz="12" w:space="0" w:color="000000"/>
              <w:bottom w:val="single" w:sz="12" w:space="0" w:color="000000" w:themeColor="text1"/>
              <w:right w:val="single" w:sz="6" w:space="0" w:color="D9D9D9" w:themeColor="background1" w:themeShade="D9"/>
            </w:tcBorders>
            <w:shd w:val="solid" w:color="D9D9D9" w:themeColor="background1" w:themeShade="D9" w:fill="D9D9D9" w:themeFill="background1" w:themeFillShade="D9"/>
            <w:vAlign w:val="center"/>
          </w:tcPr>
          <w:p w:rsidR="004812E2" w:rsidRPr="007C77E4" w:rsidRDefault="004812E2" w:rsidP="001F5D99">
            <w:pPr>
              <w:keepNext/>
              <w:spacing w:after="0" w:line="240" w:lineRule="auto"/>
              <w:ind w:left="113" w:right="113"/>
              <w:jc w:val="center"/>
              <w:rPr>
                <w:sz w:val="16"/>
                <w:szCs w:val="16"/>
              </w:rPr>
            </w:pPr>
            <w:r w:rsidRPr="007C77E4">
              <w:rPr>
                <w:sz w:val="16"/>
                <w:szCs w:val="16"/>
              </w:rPr>
              <w:t>EEM Categor</w:t>
            </w:r>
            <w:r>
              <w:rPr>
                <w:sz w:val="16"/>
                <w:szCs w:val="16"/>
              </w:rPr>
              <w:t>ies</w:t>
            </w:r>
          </w:p>
        </w:tc>
        <w:tc>
          <w:tcPr>
            <w:tcW w:w="479" w:type="pct"/>
            <w:tcBorders>
              <w:top w:val="single" w:sz="4" w:space="0" w:color="auto"/>
              <w:left w:val="single" w:sz="6" w:space="0" w:color="D9D9D9" w:themeColor="background1" w:themeShade="D9"/>
              <w:bottom w:val="single" w:sz="12" w:space="0" w:color="000000" w:themeColor="text1"/>
              <w:right w:val="single" w:sz="6" w:space="0" w:color="D9D9D9" w:themeColor="background1" w:themeShade="D9"/>
            </w:tcBorders>
            <w:shd w:val="solid" w:color="D9D9D9" w:themeColor="background1" w:themeShade="D9" w:fill="D9D9D9" w:themeFill="background1" w:themeFillShade="D9"/>
            <w:vAlign w:val="center"/>
          </w:tcPr>
          <w:p w:rsidR="004812E2" w:rsidRDefault="004812E2" w:rsidP="001F5D99">
            <w:pPr>
              <w:keepNext/>
              <w:spacing w:after="0" w:line="240" w:lineRule="auto"/>
              <w:jc w:val="center"/>
              <w:rPr>
                <w:sz w:val="16"/>
                <w:szCs w:val="16"/>
              </w:rPr>
            </w:pPr>
            <w:r>
              <w:rPr>
                <w:sz w:val="16"/>
                <w:szCs w:val="16"/>
              </w:rPr>
              <w:t>Current NTGR Values</w:t>
            </w:r>
          </w:p>
        </w:tc>
        <w:tc>
          <w:tcPr>
            <w:tcW w:w="444" w:type="pct"/>
            <w:tcBorders>
              <w:top w:val="single" w:sz="4" w:space="0" w:color="auto"/>
              <w:left w:val="single" w:sz="6" w:space="0" w:color="D9D9D9" w:themeColor="background1" w:themeShade="D9"/>
              <w:bottom w:val="single" w:sz="12" w:space="0" w:color="000000" w:themeColor="text1"/>
              <w:right w:val="single" w:sz="6" w:space="0" w:color="D9D9D9" w:themeColor="background1" w:themeShade="D9"/>
            </w:tcBorders>
            <w:shd w:val="solid" w:color="D9D9D9" w:themeColor="background1" w:themeShade="D9" w:fill="D9D9D9" w:themeFill="background1" w:themeFillShade="D9"/>
            <w:vAlign w:val="center"/>
          </w:tcPr>
          <w:p w:rsidR="004812E2" w:rsidRPr="007C77E4" w:rsidRDefault="004812E2" w:rsidP="001F5D99">
            <w:pPr>
              <w:keepNext/>
              <w:spacing w:after="0" w:line="240" w:lineRule="auto"/>
              <w:jc w:val="center"/>
              <w:rPr>
                <w:sz w:val="16"/>
                <w:szCs w:val="16"/>
              </w:rPr>
            </w:pPr>
            <w:r>
              <w:rPr>
                <w:sz w:val="16"/>
                <w:szCs w:val="16"/>
              </w:rPr>
              <w:t>Program Delivery Approach</w:t>
            </w:r>
          </w:p>
        </w:tc>
        <w:tc>
          <w:tcPr>
            <w:tcW w:w="785" w:type="pct"/>
            <w:tcBorders>
              <w:top w:val="single" w:sz="4" w:space="0" w:color="auto"/>
              <w:left w:val="single" w:sz="6" w:space="0" w:color="D9D9D9" w:themeColor="background1" w:themeShade="D9"/>
              <w:bottom w:val="single" w:sz="12" w:space="0" w:color="000000" w:themeColor="text1"/>
              <w:right w:val="single" w:sz="6" w:space="0" w:color="D9D9D9" w:themeColor="background1" w:themeShade="D9"/>
            </w:tcBorders>
            <w:shd w:val="solid" w:color="D9D9D9" w:themeColor="background1" w:themeShade="D9" w:fill="D9D9D9" w:themeFill="background1" w:themeFillShade="D9"/>
            <w:vAlign w:val="center"/>
          </w:tcPr>
          <w:p w:rsidR="004812E2" w:rsidRPr="007C77E4" w:rsidRDefault="004812E2" w:rsidP="001F5D99">
            <w:pPr>
              <w:keepNext/>
              <w:spacing w:after="0" w:line="240" w:lineRule="auto"/>
              <w:jc w:val="center"/>
              <w:rPr>
                <w:sz w:val="16"/>
                <w:szCs w:val="16"/>
              </w:rPr>
            </w:pPr>
            <w:r w:rsidRPr="007C77E4">
              <w:rPr>
                <w:sz w:val="16"/>
                <w:szCs w:val="16"/>
              </w:rPr>
              <w:t>Data Sources</w:t>
            </w:r>
          </w:p>
        </w:tc>
        <w:tc>
          <w:tcPr>
            <w:tcW w:w="888" w:type="pct"/>
            <w:tcBorders>
              <w:top w:val="single" w:sz="4" w:space="0" w:color="auto"/>
              <w:left w:val="single" w:sz="6" w:space="0" w:color="D9D9D9" w:themeColor="background1" w:themeShade="D9"/>
              <w:bottom w:val="single" w:sz="12" w:space="0" w:color="000000" w:themeColor="text1"/>
              <w:right w:val="single" w:sz="6" w:space="0" w:color="D9D9D9" w:themeColor="background1" w:themeShade="D9"/>
            </w:tcBorders>
            <w:shd w:val="solid" w:color="D9D9D9" w:themeColor="background1" w:themeShade="D9" w:fill="D9D9D9" w:themeFill="background1" w:themeFillShade="D9"/>
            <w:vAlign w:val="center"/>
          </w:tcPr>
          <w:p w:rsidR="004812E2" w:rsidRPr="007C77E4" w:rsidRDefault="004812E2" w:rsidP="001358C6">
            <w:pPr>
              <w:keepNext/>
              <w:spacing w:after="0" w:line="240" w:lineRule="auto"/>
              <w:jc w:val="center"/>
              <w:rPr>
                <w:sz w:val="16"/>
                <w:szCs w:val="16"/>
              </w:rPr>
            </w:pPr>
            <w:r>
              <w:rPr>
                <w:sz w:val="16"/>
                <w:szCs w:val="16"/>
              </w:rPr>
              <w:t xml:space="preserve">NTGR Values </w:t>
            </w:r>
            <w:r w:rsidR="001358C6">
              <w:rPr>
                <w:sz w:val="16"/>
                <w:szCs w:val="16"/>
              </w:rPr>
              <w:t>in</w:t>
            </w:r>
            <w:r>
              <w:rPr>
                <w:sz w:val="16"/>
                <w:szCs w:val="16"/>
              </w:rPr>
              <w:t xml:space="preserve"> Data Sources</w:t>
            </w:r>
          </w:p>
        </w:tc>
        <w:tc>
          <w:tcPr>
            <w:tcW w:w="888" w:type="pct"/>
            <w:tcBorders>
              <w:top w:val="single" w:sz="4" w:space="0" w:color="auto"/>
              <w:left w:val="single" w:sz="6" w:space="0" w:color="D9D9D9" w:themeColor="background1" w:themeShade="D9"/>
              <w:bottom w:val="single" w:sz="12" w:space="0" w:color="000000" w:themeColor="text1"/>
              <w:right w:val="single" w:sz="4" w:space="0" w:color="auto"/>
            </w:tcBorders>
            <w:shd w:val="solid" w:color="D9D9D9" w:themeColor="background1" w:themeShade="D9" w:fill="D9D9D9" w:themeFill="background1" w:themeFillShade="D9"/>
            <w:vAlign w:val="center"/>
          </w:tcPr>
          <w:p w:rsidR="004812E2" w:rsidRPr="007C77E4" w:rsidRDefault="004812E2" w:rsidP="001F5D99">
            <w:pPr>
              <w:keepNext/>
              <w:spacing w:after="0" w:line="240" w:lineRule="auto"/>
              <w:jc w:val="center"/>
              <w:rPr>
                <w:sz w:val="16"/>
                <w:szCs w:val="16"/>
              </w:rPr>
            </w:pPr>
            <w:r>
              <w:rPr>
                <w:sz w:val="16"/>
                <w:szCs w:val="16"/>
              </w:rPr>
              <w:t>Methods Used in Data Sources to Estimate the NTGR Values</w:t>
            </w:r>
          </w:p>
        </w:tc>
        <w:tc>
          <w:tcPr>
            <w:tcW w:w="997" w:type="pct"/>
            <w:tcBorders>
              <w:top w:val="single" w:sz="4" w:space="0" w:color="auto"/>
              <w:left w:val="single" w:sz="6" w:space="0" w:color="D9D9D9" w:themeColor="background1" w:themeShade="D9"/>
              <w:bottom w:val="single" w:sz="12" w:space="0" w:color="000000" w:themeColor="text1"/>
              <w:right w:val="single" w:sz="12" w:space="0" w:color="000000"/>
            </w:tcBorders>
            <w:shd w:val="solid" w:color="D9D9D9" w:themeColor="background1" w:themeShade="D9" w:fill="D9D9D9" w:themeFill="background1" w:themeFillShade="D9"/>
            <w:vAlign w:val="center"/>
          </w:tcPr>
          <w:p w:rsidR="001F5D99" w:rsidRDefault="004812E2" w:rsidP="001F5D99">
            <w:pPr>
              <w:keepNext/>
              <w:spacing w:after="0" w:line="240" w:lineRule="auto"/>
              <w:jc w:val="center"/>
              <w:rPr>
                <w:sz w:val="16"/>
                <w:szCs w:val="16"/>
              </w:rPr>
            </w:pPr>
            <w:r>
              <w:rPr>
                <w:sz w:val="16"/>
                <w:szCs w:val="16"/>
              </w:rPr>
              <w:t xml:space="preserve">Proposed </w:t>
            </w:r>
            <w:r w:rsidR="001F5D99">
              <w:rPr>
                <w:sz w:val="16"/>
                <w:szCs w:val="16"/>
              </w:rPr>
              <w:t>NTGR Value</w:t>
            </w:r>
          </w:p>
          <w:p w:rsidR="004812E2" w:rsidRDefault="00862E8B" w:rsidP="001F5D99">
            <w:pPr>
              <w:keepNext/>
              <w:spacing w:after="0" w:line="240" w:lineRule="auto"/>
              <w:jc w:val="center"/>
              <w:rPr>
                <w:sz w:val="16"/>
                <w:szCs w:val="16"/>
              </w:rPr>
            </w:pPr>
            <w:r>
              <w:rPr>
                <w:sz w:val="16"/>
                <w:szCs w:val="16"/>
              </w:rPr>
              <w:t>Estimate for 2011</w:t>
            </w:r>
          </w:p>
        </w:tc>
      </w:tr>
      <w:tr w:rsidR="00A64AA5" w:rsidRPr="00EB70A9" w:rsidTr="000073BE">
        <w:trPr>
          <w:trHeight w:val="322"/>
        </w:trPr>
        <w:tc>
          <w:tcPr>
            <w:tcW w:w="519" w:type="pct"/>
            <w:tcBorders>
              <w:top w:val="single" w:sz="12" w:space="0" w:color="000000" w:themeColor="text1"/>
              <w:left w:val="single" w:sz="12" w:space="0" w:color="000000"/>
            </w:tcBorders>
            <w:vAlign w:val="center"/>
          </w:tcPr>
          <w:p w:rsidR="00A64AA5" w:rsidRPr="0071570C" w:rsidRDefault="00A64AA5" w:rsidP="00A64AA5">
            <w:pPr>
              <w:spacing w:after="0" w:line="240" w:lineRule="auto"/>
              <w:jc w:val="left"/>
              <w:rPr>
                <w:rFonts w:eastAsiaTheme="minorHAnsi"/>
                <w:sz w:val="20"/>
                <w:szCs w:val="20"/>
              </w:rPr>
            </w:pPr>
            <w:r w:rsidRPr="00A64AA5">
              <w:rPr>
                <w:rFonts w:eastAsiaTheme="minorHAnsi"/>
                <w:sz w:val="16"/>
                <w:szCs w:val="18"/>
              </w:rPr>
              <w:t>Room Air Conditioners</w:t>
            </w:r>
          </w:p>
        </w:tc>
        <w:tc>
          <w:tcPr>
            <w:tcW w:w="479" w:type="pct"/>
            <w:tcBorders>
              <w:top w:val="single" w:sz="12" w:space="0" w:color="000000" w:themeColor="text1"/>
            </w:tcBorders>
            <w:vAlign w:val="center"/>
          </w:tcPr>
          <w:p w:rsidR="00A64AA5" w:rsidRDefault="00A64AA5" w:rsidP="00A64AA5">
            <w:pPr>
              <w:spacing w:after="0" w:line="240" w:lineRule="auto"/>
              <w:jc w:val="center"/>
              <w:rPr>
                <w:sz w:val="16"/>
                <w:szCs w:val="16"/>
              </w:rPr>
            </w:pPr>
            <w:r>
              <w:rPr>
                <w:sz w:val="16"/>
                <w:szCs w:val="16"/>
              </w:rPr>
              <w:t>0.70</w:t>
            </w:r>
          </w:p>
        </w:tc>
        <w:tc>
          <w:tcPr>
            <w:tcW w:w="444" w:type="pct"/>
            <w:tcBorders>
              <w:top w:val="single" w:sz="12" w:space="0" w:color="000000" w:themeColor="text1"/>
            </w:tcBorders>
            <w:vAlign w:val="center"/>
          </w:tcPr>
          <w:p w:rsidR="00A64AA5" w:rsidRPr="002F22D5" w:rsidRDefault="00A64AA5" w:rsidP="00F23F44">
            <w:pPr>
              <w:spacing w:after="0" w:line="240" w:lineRule="auto"/>
              <w:jc w:val="left"/>
              <w:rPr>
                <w:sz w:val="16"/>
                <w:szCs w:val="16"/>
              </w:rPr>
            </w:pPr>
            <w:r>
              <w:rPr>
                <w:sz w:val="16"/>
                <w:szCs w:val="16"/>
              </w:rPr>
              <w:t>Downstream</w:t>
            </w:r>
          </w:p>
        </w:tc>
        <w:tc>
          <w:tcPr>
            <w:tcW w:w="785" w:type="pct"/>
            <w:tcBorders>
              <w:top w:val="single" w:sz="12" w:space="0" w:color="000000" w:themeColor="text1"/>
            </w:tcBorders>
            <w:vAlign w:val="center"/>
          </w:tcPr>
          <w:p w:rsidR="00A64AA5" w:rsidRPr="002F22D5" w:rsidRDefault="00A64AA5" w:rsidP="00F23F44">
            <w:pPr>
              <w:spacing w:after="0" w:line="240" w:lineRule="auto"/>
              <w:jc w:val="left"/>
              <w:rPr>
                <w:sz w:val="16"/>
                <w:szCs w:val="16"/>
              </w:rPr>
            </w:pPr>
            <w:r w:rsidRPr="00BB6C3D">
              <w:rPr>
                <w:sz w:val="16"/>
                <w:szCs w:val="16"/>
              </w:rPr>
              <w:t>EM&amp;V of the CPUC Residential Retrofit High Impact Measure Evaluation Report and Appendices, February 8, 2010, The CADMUS Group</w:t>
            </w:r>
            <w:r>
              <w:rPr>
                <w:sz w:val="16"/>
                <w:szCs w:val="16"/>
              </w:rPr>
              <w:t xml:space="preserve"> [Ch. 12]</w:t>
            </w:r>
          </w:p>
        </w:tc>
        <w:tc>
          <w:tcPr>
            <w:tcW w:w="888" w:type="pct"/>
            <w:tcBorders>
              <w:top w:val="single" w:sz="12" w:space="0" w:color="000000" w:themeColor="text1"/>
            </w:tcBorders>
            <w:vAlign w:val="center"/>
          </w:tcPr>
          <w:p w:rsidR="00A64AA5" w:rsidRDefault="00A64AA5" w:rsidP="00A64AA5">
            <w:pPr>
              <w:spacing w:after="0" w:line="240" w:lineRule="auto"/>
              <w:jc w:val="left"/>
              <w:rPr>
                <w:sz w:val="16"/>
                <w:szCs w:val="16"/>
              </w:rPr>
            </w:pPr>
            <w:r>
              <w:rPr>
                <w:sz w:val="16"/>
                <w:szCs w:val="16"/>
              </w:rPr>
              <w:t>The study determined the following NTGR values for the IOU programs:</w:t>
            </w:r>
          </w:p>
          <w:p w:rsidR="00A64AA5" w:rsidRDefault="00A64AA5" w:rsidP="00A64AA5">
            <w:pPr>
              <w:spacing w:after="0" w:line="240" w:lineRule="auto"/>
              <w:jc w:val="left"/>
              <w:rPr>
                <w:sz w:val="16"/>
                <w:szCs w:val="16"/>
              </w:rPr>
            </w:pPr>
          </w:p>
          <w:p w:rsidR="00A64AA5" w:rsidRDefault="00A64AA5" w:rsidP="00A64AA5">
            <w:pPr>
              <w:tabs>
                <w:tab w:val="decimal" w:pos="-19"/>
                <w:tab w:val="decimal" w:pos="1151"/>
                <w:tab w:val="decimal" w:pos="1866"/>
              </w:tabs>
              <w:spacing w:after="0" w:line="240" w:lineRule="auto"/>
              <w:jc w:val="left"/>
              <w:rPr>
                <w:sz w:val="16"/>
                <w:szCs w:val="16"/>
              </w:rPr>
            </w:pPr>
            <w:r>
              <w:rPr>
                <w:sz w:val="16"/>
                <w:szCs w:val="16"/>
              </w:rPr>
              <w:tab/>
              <w:t>kWh</w:t>
            </w:r>
            <w:r w:rsidR="00600249">
              <w:rPr>
                <w:sz w:val="16"/>
                <w:szCs w:val="16"/>
              </w:rPr>
              <w:tab/>
              <w:t>Sample</w:t>
            </w:r>
          </w:p>
          <w:p w:rsidR="00A64AA5" w:rsidRDefault="00A64AA5" w:rsidP="00600249">
            <w:pPr>
              <w:tabs>
                <w:tab w:val="decimal" w:pos="0"/>
                <w:tab w:val="decimal" w:pos="971"/>
                <w:tab w:val="decimal" w:pos="1691"/>
              </w:tabs>
              <w:spacing w:after="0" w:line="240" w:lineRule="auto"/>
              <w:jc w:val="left"/>
              <w:rPr>
                <w:sz w:val="16"/>
                <w:szCs w:val="16"/>
              </w:rPr>
            </w:pPr>
            <w:r>
              <w:rPr>
                <w:sz w:val="16"/>
                <w:szCs w:val="16"/>
              </w:rPr>
              <w:t>PGE</w:t>
            </w:r>
            <w:r>
              <w:rPr>
                <w:sz w:val="16"/>
                <w:szCs w:val="16"/>
              </w:rPr>
              <w:tab/>
              <w:t>0.41</w:t>
            </w:r>
            <w:r w:rsidR="00600249">
              <w:rPr>
                <w:sz w:val="16"/>
                <w:szCs w:val="16"/>
              </w:rPr>
              <w:tab/>
            </w:r>
            <w:r w:rsidR="00087442">
              <w:rPr>
                <w:sz w:val="16"/>
                <w:szCs w:val="16"/>
              </w:rPr>
              <w:t>9</w:t>
            </w:r>
            <w:r w:rsidR="00600249">
              <w:rPr>
                <w:sz w:val="16"/>
                <w:szCs w:val="16"/>
              </w:rPr>
              <w:t>1</w:t>
            </w:r>
          </w:p>
          <w:p w:rsidR="00A64AA5" w:rsidRDefault="00A64AA5" w:rsidP="00600249">
            <w:pPr>
              <w:tabs>
                <w:tab w:val="decimal" w:pos="0"/>
                <w:tab w:val="decimal" w:pos="971"/>
                <w:tab w:val="decimal" w:pos="1691"/>
              </w:tabs>
              <w:spacing w:after="0" w:line="240" w:lineRule="auto"/>
              <w:jc w:val="left"/>
              <w:rPr>
                <w:sz w:val="16"/>
                <w:szCs w:val="16"/>
              </w:rPr>
            </w:pPr>
            <w:r>
              <w:rPr>
                <w:sz w:val="16"/>
                <w:szCs w:val="16"/>
              </w:rPr>
              <w:t>SCE</w:t>
            </w:r>
            <w:r>
              <w:rPr>
                <w:sz w:val="16"/>
                <w:szCs w:val="16"/>
              </w:rPr>
              <w:tab/>
              <w:t>0.36</w:t>
            </w:r>
            <w:r w:rsidR="00600249">
              <w:rPr>
                <w:sz w:val="16"/>
                <w:szCs w:val="16"/>
              </w:rPr>
              <w:tab/>
              <w:t>6</w:t>
            </w:r>
            <w:r w:rsidR="00087442">
              <w:rPr>
                <w:sz w:val="16"/>
                <w:szCs w:val="16"/>
              </w:rPr>
              <w:t>29</w:t>
            </w:r>
          </w:p>
          <w:p w:rsidR="00A64AA5" w:rsidRDefault="00A64AA5" w:rsidP="00600249">
            <w:pPr>
              <w:tabs>
                <w:tab w:val="right" w:pos="0"/>
                <w:tab w:val="decimal" w:pos="971"/>
                <w:tab w:val="decimal" w:pos="1691"/>
              </w:tabs>
              <w:spacing w:after="0" w:line="240" w:lineRule="auto"/>
              <w:jc w:val="left"/>
              <w:rPr>
                <w:sz w:val="16"/>
                <w:szCs w:val="16"/>
              </w:rPr>
            </w:pPr>
            <w:r>
              <w:rPr>
                <w:sz w:val="16"/>
                <w:szCs w:val="16"/>
              </w:rPr>
              <w:t>SDG&amp;E</w:t>
            </w:r>
            <w:r>
              <w:rPr>
                <w:sz w:val="16"/>
                <w:szCs w:val="16"/>
              </w:rPr>
              <w:tab/>
              <w:t>0.31</w:t>
            </w:r>
            <w:r w:rsidR="00600249">
              <w:rPr>
                <w:sz w:val="16"/>
                <w:szCs w:val="16"/>
              </w:rPr>
              <w:tab/>
              <w:t>377</w:t>
            </w:r>
          </w:p>
          <w:p w:rsidR="00600249" w:rsidRPr="002F22D5" w:rsidRDefault="00600249" w:rsidP="003E4A1F">
            <w:pPr>
              <w:tabs>
                <w:tab w:val="right" w:pos="0"/>
                <w:tab w:val="decimal" w:pos="1241"/>
                <w:tab w:val="decimal" w:pos="1691"/>
              </w:tabs>
              <w:spacing w:after="0" w:line="240" w:lineRule="auto"/>
              <w:jc w:val="left"/>
              <w:rPr>
                <w:sz w:val="16"/>
                <w:szCs w:val="16"/>
              </w:rPr>
            </w:pPr>
            <w:r>
              <w:rPr>
                <w:sz w:val="16"/>
                <w:szCs w:val="16"/>
              </w:rPr>
              <w:tab/>
              <w:t>Total:</w:t>
            </w:r>
            <w:r>
              <w:rPr>
                <w:sz w:val="16"/>
                <w:szCs w:val="16"/>
              </w:rPr>
              <w:tab/>
              <w:t>1,097</w:t>
            </w:r>
          </w:p>
        </w:tc>
        <w:tc>
          <w:tcPr>
            <w:tcW w:w="888" w:type="pct"/>
            <w:tcBorders>
              <w:top w:val="single" w:sz="12" w:space="0" w:color="000000" w:themeColor="text1"/>
            </w:tcBorders>
            <w:vAlign w:val="center"/>
          </w:tcPr>
          <w:p w:rsidR="00A64AA5" w:rsidRPr="002F22D5" w:rsidRDefault="00A64AA5" w:rsidP="00A64AA5">
            <w:pPr>
              <w:tabs>
                <w:tab w:val="decimal" w:pos="-2271"/>
                <w:tab w:val="decimal" w:pos="-1281"/>
              </w:tabs>
              <w:spacing w:after="0" w:line="240" w:lineRule="auto"/>
              <w:jc w:val="left"/>
              <w:rPr>
                <w:sz w:val="16"/>
                <w:szCs w:val="16"/>
              </w:rPr>
            </w:pPr>
            <w:r>
              <w:rPr>
                <w:sz w:val="16"/>
                <w:szCs w:val="16"/>
              </w:rPr>
              <w:t>Self-Report Approach was used</w:t>
            </w:r>
            <w:r w:rsidRPr="00E105CF">
              <w:rPr>
                <w:sz w:val="16"/>
                <w:szCs w:val="16"/>
              </w:rPr>
              <w:t xml:space="preserve"> to estimate the net-to-gross ratio</w:t>
            </w:r>
            <w:r>
              <w:rPr>
                <w:sz w:val="16"/>
                <w:szCs w:val="16"/>
              </w:rPr>
              <w:t xml:space="preserve">. </w:t>
            </w:r>
            <w:r w:rsidRPr="0038059A">
              <w:rPr>
                <w:sz w:val="16"/>
                <w:szCs w:val="16"/>
              </w:rPr>
              <w:t>The NTG ratio was developed using a consistent method based on measure delivery channel</w:t>
            </w:r>
            <w:r>
              <w:rPr>
                <w:sz w:val="16"/>
                <w:szCs w:val="16"/>
              </w:rPr>
              <w:t xml:space="preserve"> </w:t>
            </w:r>
            <w:r w:rsidRPr="0038059A">
              <w:rPr>
                <w:sz w:val="16"/>
                <w:szCs w:val="16"/>
              </w:rPr>
              <w:t xml:space="preserve">with appropriate decision maker </w:t>
            </w:r>
            <w:r>
              <w:rPr>
                <w:sz w:val="16"/>
                <w:szCs w:val="16"/>
              </w:rPr>
              <w:t xml:space="preserve">phone SR </w:t>
            </w:r>
            <w:r w:rsidRPr="0038059A">
              <w:rPr>
                <w:sz w:val="16"/>
                <w:szCs w:val="16"/>
              </w:rPr>
              <w:t>surveys administered to a representative sample.</w:t>
            </w:r>
          </w:p>
        </w:tc>
        <w:tc>
          <w:tcPr>
            <w:tcW w:w="997" w:type="pct"/>
            <w:tcBorders>
              <w:top w:val="single" w:sz="12" w:space="0" w:color="000000" w:themeColor="text1"/>
              <w:right w:val="single" w:sz="12" w:space="0" w:color="000000"/>
            </w:tcBorders>
            <w:vAlign w:val="center"/>
          </w:tcPr>
          <w:p w:rsidR="000B2326" w:rsidRDefault="00FF402C" w:rsidP="00BD1B88">
            <w:pPr>
              <w:tabs>
                <w:tab w:val="decimal" w:pos="-2271"/>
                <w:tab w:val="decimal" w:pos="-1281"/>
              </w:tabs>
              <w:spacing w:after="0" w:line="240" w:lineRule="auto"/>
              <w:ind w:firstLine="158"/>
              <w:jc w:val="left"/>
              <w:rPr>
                <w:sz w:val="16"/>
                <w:szCs w:val="16"/>
              </w:rPr>
            </w:pPr>
            <w:r>
              <w:rPr>
                <w:sz w:val="16"/>
                <w:szCs w:val="16"/>
              </w:rPr>
              <w:t>T</w:t>
            </w:r>
            <w:r w:rsidR="000B2326">
              <w:rPr>
                <w:sz w:val="16"/>
                <w:szCs w:val="16"/>
              </w:rPr>
              <w:t xml:space="preserve">he study states </w:t>
            </w:r>
            <w:r>
              <w:rPr>
                <w:sz w:val="16"/>
                <w:szCs w:val="16"/>
              </w:rPr>
              <w:t xml:space="preserve">for RACs that </w:t>
            </w:r>
            <w:r w:rsidR="000B2326">
              <w:rPr>
                <w:sz w:val="16"/>
                <w:szCs w:val="16"/>
              </w:rPr>
              <w:t>“…</w:t>
            </w:r>
            <w:r w:rsidR="000B2326" w:rsidRPr="000B2326">
              <w:rPr>
                <w:sz w:val="16"/>
                <w:szCs w:val="16"/>
              </w:rPr>
              <w:t xml:space="preserve">the self-report NTG estimated free-ridership of 58%-74%. This high rate, however, is somewhat inconsistent with the market share data reported by the Department of Energy (DOE). The National ENERGY STAR Retailer Partners are required to annually provide sales data to the DOE for dishwashers, clothes washers, room air conditioners, and refrigerators. In 2006-2008 the National ENERGY STAR retailer partners reported the </w:t>
            </w:r>
            <w:r w:rsidR="000B2326" w:rsidRPr="00FF402C">
              <w:rPr>
                <w:b/>
                <w:sz w:val="16"/>
                <w:szCs w:val="16"/>
              </w:rPr>
              <w:t>national</w:t>
            </w:r>
            <w:r w:rsidR="000B2326" w:rsidRPr="000B2326">
              <w:rPr>
                <w:sz w:val="16"/>
                <w:szCs w:val="16"/>
              </w:rPr>
              <w:t xml:space="preserve"> market share data for ENERGY STAR room air conditioners was 36%, 50%, and 43%, res</w:t>
            </w:r>
            <w:r w:rsidR="000B2326">
              <w:rPr>
                <w:sz w:val="16"/>
                <w:szCs w:val="16"/>
              </w:rPr>
              <w:t>pectively.</w:t>
            </w:r>
            <w:r w:rsidR="000B2326" w:rsidRPr="000B2326">
              <w:rPr>
                <w:sz w:val="16"/>
                <w:szCs w:val="16"/>
              </w:rPr>
              <w:t xml:space="preserve"> While this is not an estimate of free-ridership, it is an indication that sales of ENERGY STAR room air conditioners were in the 36%-50% range throughout the U.S., substantially lower than the self-reported estimate of free-ridership in this study.</w:t>
            </w:r>
            <w:r w:rsidR="000B2326">
              <w:rPr>
                <w:sz w:val="16"/>
                <w:szCs w:val="16"/>
              </w:rPr>
              <w:t>”</w:t>
            </w:r>
          </w:p>
          <w:p w:rsidR="009C656B" w:rsidRDefault="00827620" w:rsidP="009C656B">
            <w:pPr>
              <w:tabs>
                <w:tab w:val="decimal" w:pos="-2271"/>
                <w:tab w:val="decimal" w:pos="-1281"/>
              </w:tabs>
              <w:spacing w:after="0" w:line="240" w:lineRule="auto"/>
              <w:ind w:firstLine="158"/>
              <w:jc w:val="left"/>
              <w:rPr>
                <w:sz w:val="16"/>
                <w:szCs w:val="16"/>
              </w:rPr>
            </w:pPr>
            <w:r>
              <w:rPr>
                <w:sz w:val="16"/>
                <w:szCs w:val="16"/>
              </w:rPr>
              <w:t>The r</w:t>
            </w:r>
            <w:r w:rsidR="008C7D2C">
              <w:rPr>
                <w:sz w:val="16"/>
                <w:szCs w:val="16"/>
              </w:rPr>
              <w:t xml:space="preserve">eported Energy Star </w:t>
            </w:r>
            <w:r>
              <w:rPr>
                <w:sz w:val="16"/>
                <w:szCs w:val="16"/>
              </w:rPr>
              <w:t>RAC</w:t>
            </w:r>
            <w:r w:rsidR="008C7D2C">
              <w:rPr>
                <w:sz w:val="16"/>
                <w:szCs w:val="16"/>
              </w:rPr>
              <w:t xml:space="preserve"> sales in </w:t>
            </w:r>
            <w:r w:rsidR="008C7D2C" w:rsidRPr="00C57B07">
              <w:rPr>
                <w:b/>
                <w:sz w:val="16"/>
                <w:szCs w:val="16"/>
              </w:rPr>
              <w:t>California</w:t>
            </w:r>
            <w:r w:rsidR="008C7D2C">
              <w:rPr>
                <w:sz w:val="16"/>
                <w:szCs w:val="16"/>
              </w:rPr>
              <w:t xml:space="preserve"> are 36% in 2009, 38% in 2008, 51% in 2007, and 21% in 2006.  </w:t>
            </w:r>
            <w:r w:rsidR="009C656B">
              <w:rPr>
                <w:sz w:val="16"/>
                <w:szCs w:val="16"/>
              </w:rPr>
              <w:t>Although r</w:t>
            </w:r>
            <w:r w:rsidR="008C7D2C">
              <w:rPr>
                <w:sz w:val="16"/>
                <w:szCs w:val="16"/>
              </w:rPr>
              <w:t xml:space="preserve">etail partners that </w:t>
            </w:r>
            <w:r w:rsidR="006D3ECA">
              <w:rPr>
                <w:sz w:val="16"/>
                <w:szCs w:val="16"/>
              </w:rPr>
              <w:t>provide</w:t>
            </w:r>
            <w:r w:rsidR="008C7D2C">
              <w:rPr>
                <w:sz w:val="16"/>
                <w:szCs w:val="16"/>
              </w:rPr>
              <w:t xml:space="preserve"> data to Energy Star may vary year to year mak</w:t>
            </w:r>
            <w:r w:rsidR="00440F56">
              <w:rPr>
                <w:sz w:val="16"/>
                <w:szCs w:val="16"/>
              </w:rPr>
              <w:t xml:space="preserve">ing reliable direct comparisons </w:t>
            </w:r>
            <w:r w:rsidR="008C7D2C">
              <w:rPr>
                <w:sz w:val="16"/>
                <w:szCs w:val="16"/>
              </w:rPr>
              <w:t>difficult</w:t>
            </w:r>
            <w:r w:rsidR="009C656B">
              <w:rPr>
                <w:sz w:val="16"/>
                <w:szCs w:val="16"/>
              </w:rPr>
              <w:t xml:space="preserve">, </w:t>
            </w:r>
            <w:r w:rsidR="005E7998">
              <w:rPr>
                <w:sz w:val="16"/>
                <w:szCs w:val="16"/>
              </w:rPr>
              <w:t xml:space="preserve">a review </w:t>
            </w:r>
            <w:r w:rsidR="005E7998">
              <w:rPr>
                <w:sz w:val="16"/>
                <w:szCs w:val="16"/>
              </w:rPr>
              <w:lastRenderedPageBreak/>
              <w:t xml:space="preserve">of the </w:t>
            </w:r>
            <w:r w:rsidR="007277F2">
              <w:rPr>
                <w:sz w:val="16"/>
                <w:szCs w:val="16"/>
              </w:rPr>
              <w:t>incremental cost</w:t>
            </w:r>
            <w:r w:rsidR="005E7998">
              <w:rPr>
                <w:sz w:val="16"/>
                <w:szCs w:val="16"/>
              </w:rPr>
              <w:t xml:space="preserve"> trend and </w:t>
            </w:r>
            <w:r w:rsidR="009C656B">
              <w:rPr>
                <w:sz w:val="16"/>
                <w:szCs w:val="16"/>
              </w:rPr>
              <w:t xml:space="preserve">general </w:t>
            </w:r>
            <w:r w:rsidR="005E7998">
              <w:rPr>
                <w:sz w:val="16"/>
                <w:szCs w:val="16"/>
              </w:rPr>
              <w:t xml:space="preserve">availability of RAC units </w:t>
            </w:r>
            <w:r w:rsidR="009C656B">
              <w:rPr>
                <w:sz w:val="16"/>
                <w:szCs w:val="16"/>
              </w:rPr>
              <w:t xml:space="preserve">by EER level is warranted to consider an adjustment </w:t>
            </w:r>
            <w:r w:rsidR="007277F2">
              <w:rPr>
                <w:sz w:val="16"/>
                <w:szCs w:val="16"/>
              </w:rPr>
              <w:t xml:space="preserve">for </w:t>
            </w:r>
            <w:r w:rsidR="005E7998">
              <w:rPr>
                <w:sz w:val="16"/>
                <w:szCs w:val="16"/>
              </w:rPr>
              <w:t xml:space="preserve">the </w:t>
            </w:r>
            <w:r w:rsidR="009C656B">
              <w:rPr>
                <w:sz w:val="16"/>
                <w:szCs w:val="16"/>
              </w:rPr>
              <w:t xml:space="preserve">final recommended NTGR for the </w:t>
            </w:r>
            <w:r w:rsidR="005E7998">
              <w:rPr>
                <w:sz w:val="16"/>
                <w:szCs w:val="16"/>
              </w:rPr>
              <w:t>2013-2014</w:t>
            </w:r>
            <w:r w:rsidR="009C656B">
              <w:rPr>
                <w:sz w:val="16"/>
                <w:szCs w:val="16"/>
              </w:rPr>
              <w:t xml:space="preserve"> timeframe.</w:t>
            </w:r>
          </w:p>
          <w:p w:rsidR="00BD1B88" w:rsidRDefault="009C656B" w:rsidP="005E7998">
            <w:pPr>
              <w:tabs>
                <w:tab w:val="decimal" w:pos="-2271"/>
                <w:tab w:val="decimal" w:pos="-1281"/>
              </w:tabs>
              <w:spacing w:after="0" w:line="240" w:lineRule="auto"/>
              <w:ind w:firstLine="158"/>
              <w:jc w:val="left"/>
              <w:rPr>
                <w:b/>
                <w:sz w:val="16"/>
                <w:szCs w:val="16"/>
              </w:rPr>
            </w:pPr>
            <w:r>
              <w:rPr>
                <w:b/>
                <w:sz w:val="16"/>
                <w:szCs w:val="16"/>
              </w:rPr>
              <w:t>In the interim, we r</w:t>
            </w:r>
            <w:r w:rsidR="00486795" w:rsidRPr="00BD1B88">
              <w:rPr>
                <w:b/>
                <w:sz w:val="16"/>
                <w:szCs w:val="16"/>
              </w:rPr>
              <w:t xml:space="preserve">ecommend </w:t>
            </w:r>
            <w:r w:rsidR="005E7998">
              <w:rPr>
                <w:b/>
                <w:sz w:val="16"/>
                <w:szCs w:val="16"/>
              </w:rPr>
              <w:t xml:space="preserve">a </w:t>
            </w:r>
            <w:r>
              <w:rPr>
                <w:b/>
                <w:sz w:val="16"/>
                <w:szCs w:val="16"/>
              </w:rPr>
              <w:t xml:space="preserve">0.36 program level </w:t>
            </w:r>
            <w:r w:rsidR="00486795" w:rsidRPr="00BD1B88">
              <w:rPr>
                <w:b/>
                <w:sz w:val="16"/>
                <w:szCs w:val="16"/>
              </w:rPr>
              <w:t>weighted average</w:t>
            </w:r>
            <w:r>
              <w:rPr>
                <w:b/>
                <w:sz w:val="16"/>
                <w:szCs w:val="16"/>
              </w:rPr>
              <w:t xml:space="preserve"> NTGR</w:t>
            </w:r>
            <w:r w:rsidR="00973656">
              <w:rPr>
                <w:b/>
                <w:sz w:val="16"/>
                <w:szCs w:val="16"/>
              </w:rPr>
              <w:t>.</w:t>
            </w:r>
          </w:p>
          <w:p w:rsidR="00973656" w:rsidRPr="00973656" w:rsidRDefault="00973656" w:rsidP="00973656">
            <w:pPr>
              <w:tabs>
                <w:tab w:val="decimal" w:pos="-2271"/>
                <w:tab w:val="decimal" w:pos="-1281"/>
              </w:tabs>
              <w:spacing w:after="0" w:line="240" w:lineRule="auto"/>
              <w:ind w:firstLine="158"/>
              <w:jc w:val="left"/>
              <w:rPr>
                <w:b/>
                <w:sz w:val="16"/>
                <w:szCs w:val="16"/>
              </w:rPr>
            </w:pPr>
          </w:p>
        </w:tc>
      </w:tr>
      <w:tr w:rsidR="00A64AA5" w:rsidRPr="00410CDB" w:rsidTr="00D5435A">
        <w:trPr>
          <w:trHeight w:val="322"/>
        </w:trPr>
        <w:tc>
          <w:tcPr>
            <w:tcW w:w="519" w:type="pct"/>
            <w:tcBorders>
              <w:left w:val="single" w:sz="12" w:space="0" w:color="000000"/>
            </w:tcBorders>
            <w:vAlign w:val="center"/>
          </w:tcPr>
          <w:p w:rsidR="00A64AA5" w:rsidRPr="00A64AA5" w:rsidRDefault="00A64AA5" w:rsidP="00A64AA5">
            <w:pPr>
              <w:spacing w:after="0" w:line="240" w:lineRule="auto"/>
              <w:jc w:val="left"/>
              <w:rPr>
                <w:rFonts w:eastAsiaTheme="minorHAnsi"/>
                <w:sz w:val="16"/>
                <w:szCs w:val="16"/>
              </w:rPr>
            </w:pPr>
            <w:r w:rsidRPr="00A64AA5">
              <w:rPr>
                <w:rFonts w:eastAsiaTheme="minorHAnsi"/>
                <w:sz w:val="16"/>
                <w:szCs w:val="16"/>
              </w:rPr>
              <w:lastRenderedPageBreak/>
              <w:t>HVAC Maintenance:</w:t>
            </w:r>
          </w:p>
          <w:p w:rsidR="00A64AA5" w:rsidRPr="00A64AA5" w:rsidRDefault="00A64AA5" w:rsidP="00A64AA5">
            <w:pPr>
              <w:spacing w:after="0" w:line="240" w:lineRule="auto"/>
              <w:jc w:val="left"/>
              <w:rPr>
                <w:rFonts w:eastAsiaTheme="minorHAnsi"/>
                <w:sz w:val="16"/>
                <w:szCs w:val="16"/>
              </w:rPr>
            </w:pPr>
            <w:r w:rsidRPr="00A64AA5">
              <w:rPr>
                <w:rFonts w:eastAsiaTheme="minorHAnsi"/>
                <w:sz w:val="16"/>
                <w:szCs w:val="16"/>
              </w:rPr>
              <w:t>Duct Sealing</w:t>
            </w:r>
          </w:p>
        </w:tc>
        <w:tc>
          <w:tcPr>
            <w:tcW w:w="479" w:type="pct"/>
            <w:vAlign w:val="center"/>
          </w:tcPr>
          <w:p w:rsidR="00A64AA5" w:rsidRDefault="00A64AA5" w:rsidP="00A64AA5">
            <w:pPr>
              <w:spacing w:after="0" w:line="240" w:lineRule="auto"/>
              <w:jc w:val="center"/>
              <w:rPr>
                <w:sz w:val="16"/>
                <w:szCs w:val="16"/>
              </w:rPr>
            </w:pPr>
            <w:r>
              <w:rPr>
                <w:sz w:val="16"/>
                <w:szCs w:val="16"/>
              </w:rPr>
              <w:t>0.78</w:t>
            </w:r>
          </w:p>
        </w:tc>
        <w:tc>
          <w:tcPr>
            <w:tcW w:w="444" w:type="pct"/>
            <w:vAlign w:val="center"/>
          </w:tcPr>
          <w:p w:rsidR="00A64AA5" w:rsidRDefault="00A64AA5" w:rsidP="00A64AA5">
            <w:pPr>
              <w:spacing w:after="0" w:line="240" w:lineRule="auto"/>
              <w:jc w:val="left"/>
              <w:rPr>
                <w:sz w:val="16"/>
                <w:szCs w:val="16"/>
              </w:rPr>
            </w:pPr>
            <w:r>
              <w:rPr>
                <w:sz w:val="16"/>
                <w:szCs w:val="16"/>
              </w:rPr>
              <w:t>Free Tune-up/Repair</w:t>
            </w:r>
          </w:p>
        </w:tc>
        <w:tc>
          <w:tcPr>
            <w:tcW w:w="785" w:type="pct"/>
            <w:vAlign w:val="center"/>
          </w:tcPr>
          <w:p w:rsidR="00A64AA5" w:rsidRPr="002F22D5" w:rsidRDefault="006F18C5" w:rsidP="00F23F44">
            <w:pPr>
              <w:spacing w:after="0" w:line="240" w:lineRule="auto"/>
              <w:jc w:val="left"/>
              <w:rPr>
                <w:sz w:val="16"/>
                <w:szCs w:val="16"/>
              </w:rPr>
            </w:pPr>
            <w:r>
              <w:rPr>
                <w:sz w:val="16"/>
                <w:szCs w:val="16"/>
              </w:rPr>
              <w:t>EM&amp;V</w:t>
            </w:r>
            <w:r w:rsidRPr="00E03396">
              <w:rPr>
                <w:sz w:val="16"/>
                <w:szCs w:val="16"/>
              </w:rPr>
              <w:t xml:space="preserve"> of the California Public Utilities Commission HVAC High Impact Measures and Specialized Commercial Contract Group Programs, 2006 – 2008 Program Year, Final Consultant Report, Volumes 1 and 2, KEMA, February 2010</w:t>
            </w:r>
            <w:r>
              <w:rPr>
                <w:sz w:val="16"/>
                <w:szCs w:val="16"/>
              </w:rPr>
              <w:t xml:space="preserve"> [Ch. 7]</w:t>
            </w:r>
          </w:p>
        </w:tc>
        <w:tc>
          <w:tcPr>
            <w:tcW w:w="888" w:type="pct"/>
            <w:vAlign w:val="center"/>
          </w:tcPr>
          <w:p w:rsidR="006F18C5" w:rsidRDefault="006F18C5" w:rsidP="006F18C5">
            <w:pPr>
              <w:spacing w:after="0" w:line="240" w:lineRule="auto"/>
              <w:jc w:val="left"/>
              <w:rPr>
                <w:sz w:val="16"/>
                <w:szCs w:val="16"/>
              </w:rPr>
            </w:pPr>
            <w:r w:rsidRPr="00A85325">
              <w:rPr>
                <w:sz w:val="16"/>
                <w:szCs w:val="16"/>
              </w:rPr>
              <w:t>The electric energy savings weighted results are specific to the duct</w:t>
            </w:r>
            <w:r>
              <w:rPr>
                <w:sz w:val="16"/>
                <w:szCs w:val="16"/>
              </w:rPr>
              <w:t xml:space="preserve"> </w:t>
            </w:r>
            <w:r w:rsidRPr="00A85325">
              <w:rPr>
                <w:sz w:val="16"/>
                <w:szCs w:val="16"/>
              </w:rPr>
              <w:t>sealing</w:t>
            </w:r>
            <w:r>
              <w:rPr>
                <w:sz w:val="16"/>
                <w:szCs w:val="16"/>
              </w:rPr>
              <w:t xml:space="preserve"> </w:t>
            </w:r>
            <w:r w:rsidRPr="00A85325">
              <w:rPr>
                <w:sz w:val="16"/>
                <w:szCs w:val="16"/>
              </w:rPr>
              <w:t>measures within those programs and not reflective of the total program net-to-gross</w:t>
            </w:r>
            <w:r>
              <w:rPr>
                <w:sz w:val="16"/>
                <w:szCs w:val="16"/>
              </w:rPr>
              <w:t xml:space="preserve"> </w:t>
            </w:r>
            <w:r w:rsidRPr="00A85325">
              <w:rPr>
                <w:sz w:val="16"/>
                <w:szCs w:val="16"/>
              </w:rPr>
              <w:t xml:space="preserve">ratios. </w:t>
            </w:r>
          </w:p>
          <w:p w:rsidR="006F18C5" w:rsidRDefault="006F18C5" w:rsidP="007C75A3">
            <w:pPr>
              <w:tabs>
                <w:tab w:val="left" w:pos="971"/>
                <w:tab w:val="left" w:pos="1511"/>
              </w:tabs>
              <w:spacing w:after="0" w:line="240" w:lineRule="auto"/>
              <w:jc w:val="left"/>
              <w:rPr>
                <w:sz w:val="16"/>
                <w:szCs w:val="16"/>
              </w:rPr>
            </w:pPr>
            <w:bookmarkStart w:id="1" w:name="OLE_LINK5"/>
            <w:r>
              <w:rPr>
                <w:sz w:val="16"/>
                <w:szCs w:val="16"/>
              </w:rPr>
              <w:tab/>
              <w:t>NTGR</w:t>
            </w:r>
            <w:r w:rsidR="007C75A3">
              <w:rPr>
                <w:sz w:val="16"/>
                <w:szCs w:val="16"/>
              </w:rPr>
              <w:tab/>
              <w:t>Sample</w:t>
            </w:r>
          </w:p>
          <w:p w:rsidR="006F18C5" w:rsidRDefault="006F18C5" w:rsidP="002A62B3">
            <w:pPr>
              <w:tabs>
                <w:tab w:val="left" w:pos="0"/>
                <w:tab w:val="decimal" w:pos="1151"/>
                <w:tab w:val="decimal" w:pos="1871"/>
              </w:tabs>
              <w:spacing w:after="0" w:line="240" w:lineRule="auto"/>
              <w:jc w:val="left"/>
              <w:rPr>
                <w:sz w:val="16"/>
                <w:szCs w:val="16"/>
              </w:rPr>
            </w:pPr>
            <w:r>
              <w:rPr>
                <w:sz w:val="16"/>
                <w:szCs w:val="16"/>
              </w:rPr>
              <w:t>PG&amp;E2000</w:t>
            </w:r>
            <w:r>
              <w:rPr>
                <w:sz w:val="16"/>
                <w:szCs w:val="16"/>
              </w:rPr>
              <w:tab/>
              <w:t>0.54</w:t>
            </w:r>
            <w:r w:rsidR="007C75A3">
              <w:rPr>
                <w:sz w:val="16"/>
                <w:szCs w:val="16"/>
              </w:rPr>
              <w:tab/>
              <w:t>211</w:t>
            </w:r>
          </w:p>
          <w:p w:rsidR="006F18C5" w:rsidRDefault="007C75A3" w:rsidP="007C75A3">
            <w:pPr>
              <w:tabs>
                <w:tab w:val="decimal" w:pos="0"/>
                <w:tab w:val="decimal" w:pos="1151"/>
                <w:tab w:val="decimal" w:pos="1871"/>
              </w:tabs>
              <w:spacing w:after="0" w:line="240" w:lineRule="auto"/>
              <w:jc w:val="left"/>
              <w:rPr>
                <w:sz w:val="16"/>
                <w:szCs w:val="16"/>
              </w:rPr>
            </w:pPr>
            <w:r>
              <w:rPr>
                <w:sz w:val="16"/>
                <w:szCs w:val="16"/>
              </w:rPr>
              <w:t xml:space="preserve">PGE2078 </w:t>
            </w:r>
            <w:r>
              <w:rPr>
                <w:sz w:val="16"/>
                <w:szCs w:val="16"/>
              </w:rPr>
              <w:tab/>
            </w:r>
            <w:r w:rsidR="006F18C5">
              <w:rPr>
                <w:sz w:val="16"/>
                <w:szCs w:val="16"/>
              </w:rPr>
              <w:t>0.85</w:t>
            </w:r>
            <w:r>
              <w:rPr>
                <w:sz w:val="16"/>
                <w:szCs w:val="16"/>
              </w:rPr>
              <w:tab/>
              <w:t>103</w:t>
            </w:r>
          </w:p>
          <w:p w:rsidR="006F18C5" w:rsidRDefault="006F18C5" w:rsidP="007C75A3">
            <w:pPr>
              <w:tabs>
                <w:tab w:val="decimal" w:pos="696"/>
                <w:tab w:val="decimal" w:pos="1151"/>
                <w:tab w:val="decimal" w:pos="1871"/>
              </w:tabs>
              <w:spacing w:after="0" w:line="240" w:lineRule="auto"/>
              <w:jc w:val="left"/>
              <w:rPr>
                <w:sz w:val="16"/>
                <w:szCs w:val="16"/>
              </w:rPr>
            </w:pPr>
            <w:r>
              <w:rPr>
                <w:sz w:val="16"/>
                <w:szCs w:val="16"/>
              </w:rPr>
              <w:t xml:space="preserve">SCE2501   </w:t>
            </w:r>
            <w:r>
              <w:rPr>
                <w:sz w:val="16"/>
                <w:szCs w:val="16"/>
              </w:rPr>
              <w:tab/>
              <w:t>0.79</w:t>
            </w:r>
            <w:r w:rsidR="007C75A3">
              <w:rPr>
                <w:sz w:val="16"/>
                <w:szCs w:val="16"/>
              </w:rPr>
              <w:tab/>
              <w:t>102</w:t>
            </w:r>
          </w:p>
          <w:p w:rsidR="006F18C5" w:rsidRDefault="006F18C5" w:rsidP="002A62B3">
            <w:pPr>
              <w:tabs>
                <w:tab w:val="decimal" w:pos="696"/>
                <w:tab w:val="decimal" w:pos="1151"/>
                <w:tab w:val="decimal" w:pos="1871"/>
              </w:tabs>
              <w:spacing w:after="0" w:line="240" w:lineRule="auto"/>
              <w:jc w:val="left"/>
              <w:rPr>
                <w:sz w:val="16"/>
                <w:szCs w:val="16"/>
              </w:rPr>
            </w:pPr>
            <w:r>
              <w:rPr>
                <w:sz w:val="16"/>
                <w:szCs w:val="16"/>
              </w:rPr>
              <w:t xml:space="preserve">SCE2507   </w:t>
            </w:r>
            <w:r>
              <w:rPr>
                <w:sz w:val="16"/>
                <w:szCs w:val="16"/>
              </w:rPr>
              <w:tab/>
              <w:t>0.96</w:t>
            </w:r>
            <w:r w:rsidR="007C75A3">
              <w:rPr>
                <w:sz w:val="16"/>
                <w:szCs w:val="16"/>
              </w:rPr>
              <w:tab/>
            </w:r>
            <w:r w:rsidR="002A62B3">
              <w:rPr>
                <w:sz w:val="16"/>
                <w:szCs w:val="16"/>
              </w:rPr>
              <w:t>112</w:t>
            </w:r>
          </w:p>
          <w:p w:rsidR="00A64AA5" w:rsidRDefault="006F18C5" w:rsidP="002A62B3">
            <w:pPr>
              <w:tabs>
                <w:tab w:val="decimal" w:pos="696"/>
                <w:tab w:val="decimal" w:pos="1151"/>
                <w:tab w:val="decimal" w:pos="1871"/>
              </w:tabs>
              <w:spacing w:after="0" w:line="240" w:lineRule="auto"/>
              <w:jc w:val="left"/>
              <w:rPr>
                <w:sz w:val="16"/>
                <w:szCs w:val="16"/>
              </w:rPr>
            </w:pPr>
            <w:r>
              <w:rPr>
                <w:sz w:val="16"/>
                <w:szCs w:val="16"/>
              </w:rPr>
              <w:t>SDGE3035</w:t>
            </w:r>
            <w:r>
              <w:rPr>
                <w:sz w:val="16"/>
                <w:szCs w:val="16"/>
              </w:rPr>
              <w:tab/>
              <w:t>0.80</w:t>
            </w:r>
            <w:bookmarkEnd w:id="1"/>
            <w:r w:rsidR="002A62B3">
              <w:rPr>
                <w:sz w:val="16"/>
                <w:szCs w:val="16"/>
              </w:rPr>
              <w:tab/>
              <w:t>102</w:t>
            </w:r>
          </w:p>
          <w:p w:rsidR="002A62B3" w:rsidRPr="002F22D5" w:rsidRDefault="002A62B3" w:rsidP="002A62B3">
            <w:pPr>
              <w:tabs>
                <w:tab w:val="left" w:pos="1061"/>
                <w:tab w:val="decimal" w:pos="1867"/>
              </w:tabs>
              <w:spacing w:after="0" w:line="240" w:lineRule="auto"/>
              <w:jc w:val="left"/>
              <w:rPr>
                <w:sz w:val="16"/>
                <w:szCs w:val="16"/>
              </w:rPr>
            </w:pPr>
            <w:r>
              <w:rPr>
                <w:sz w:val="16"/>
                <w:szCs w:val="16"/>
              </w:rPr>
              <w:tab/>
              <w:t>Total:</w:t>
            </w:r>
            <w:r>
              <w:rPr>
                <w:sz w:val="16"/>
                <w:szCs w:val="16"/>
              </w:rPr>
              <w:tab/>
              <w:t>630</w:t>
            </w:r>
          </w:p>
        </w:tc>
        <w:tc>
          <w:tcPr>
            <w:tcW w:w="888" w:type="pct"/>
            <w:vAlign w:val="center"/>
          </w:tcPr>
          <w:p w:rsidR="00A64AA5" w:rsidRPr="00F5168A" w:rsidRDefault="006F18C5" w:rsidP="006F18C5">
            <w:pPr>
              <w:spacing w:after="0" w:line="240" w:lineRule="auto"/>
              <w:jc w:val="left"/>
              <w:rPr>
                <w:sz w:val="16"/>
                <w:szCs w:val="16"/>
              </w:rPr>
            </w:pPr>
            <w:r>
              <w:rPr>
                <w:sz w:val="16"/>
                <w:szCs w:val="16"/>
              </w:rPr>
              <w:t xml:space="preserve">Self-Report Approach was used </w:t>
            </w:r>
            <w:r w:rsidRPr="00E105CF">
              <w:rPr>
                <w:sz w:val="16"/>
                <w:szCs w:val="16"/>
              </w:rPr>
              <w:t>to estimate the net-to-gross ratio</w:t>
            </w:r>
            <w:r>
              <w:rPr>
                <w:sz w:val="16"/>
                <w:szCs w:val="16"/>
              </w:rPr>
              <w:t>.</w:t>
            </w:r>
            <w:r w:rsidRPr="00A85325">
              <w:rPr>
                <w:sz w:val="16"/>
                <w:szCs w:val="16"/>
              </w:rPr>
              <w:t xml:space="preserve"> The program deliveries allowed flexibility to the contractor in terms of the marketing and incentive, especially for RCA and duct-sealing measures. </w:t>
            </w:r>
            <w:r>
              <w:rPr>
                <w:sz w:val="16"/>
                <w:szCs w:val="16"/>
              </w:rPr>
              <w:t xml:space="preserve"> </w:t>
            </w:r>
            <w:r w:rsidRPr="00A85325">
              <w:rPr>
                <w:sz w:val="16"/>
                <w:szCs w:val="16"/>
              </w:rPr>
              <w:t xml:space="preserve">This required a method that supplemented the participant self-report surveys with contractor surveys. </w:t>
            </w:r>
            <w:r w:rsidRPr="00582E0C">
              <w:rPr>
                <w:sz w:val="16"/>
                <w:szCs w:val="16"/>
              </w:rPr>
              <w:t>The NTGR algorithm derived four separate measurements of free-ridership from different inquiry routes. These four measurements were averaged to derive the final free-ridership estimate at the measure level.</w:t>
            </w:r>
          </w:p>
        </w:tc>
        <w:tc>
          <w:tcPr>
            <w:tcW w:w="997" w:type="pct"/>
            <w:tcBorders>
              <w:right w:val="single" w:sz="12" w:space="0" w:color="000000"/>
            </w:tcBorders>
            <w:vAlign w:val="center"/>
          </w:tcPr>
          <w:p w:rsidR="00185299" w:rsidRDefault="00482387" w:rsidP="00185299">
            <w:pPr>
              <w:tabs>
                <w:tab w:val="decimal" w:pos="-2271"/>
                <w:tab w:val="decimal" w:pos="-1281"/>
              </w:tabs>
              <w:spacing w:after="0" w:line="240" w:lineRule="auto"/>
              <w:ind w:firstLine="158"/>
              <w:jc w:val="left"/>
              <w:rPr>
                <w:sz w:val="16"/>
                <w:szCs w:val="16"/>
              </w:rPr>
            </w:pPr>
            <w:r>
              <w:rPr>
                <w:sz w:val="16"/>
                <w:szCs w:val="16"/>
              </w:rPr>
              <w:t xml:space="preserve">The study has errors in some of the tables for the measure install rates where the correct PASS value was not used.  </w:t>
            </w:r>
            <w:r w:rsidR="003E4A1F">
              <w:rPr>
                <w:sz w:val="16"/>
                <w:szCs w:val="16"/>
              </w:rPr>
              <w:t>Our</w:t>
            </w:r>
            <w:r>
              <w:rPr>
                <w:sz w:val="16"/>
                <w:szCs w:val="16"/>
              </w:rPr>
              <w:t xml:space="preserve"> weighted averages used for the below review corrected for this problem.</w:t>
            </w:r>
            <w:r w:rsidR="00185299">
              <w:rPr>
                <w:sz w:val="16"/>
                <w:szCs w:val="16"/>
              </w:rPr>
              <w:t xml:space="preserve"> </w:t>
            </w:r>
          </w:p>
          <w:p w:rsidR="00185299" w:rsidRDefault="00185299" w:rsidP="00185299">
            <w:pPr>
              <w:tabs>
                <w:tab w:val="decimal" w:pos="-2271"/>
                <w:tab w:val="decimal" w:pos="-1281"/>
              </w:tabs>
              <w:spacing w:after="0" w:line="240" w:lineRule="auto"/>
              <w:ind w:firstLine="158"/>
              <w:jc w:val="left"/>
              <w:rPr>
                <w:sz w:val="16"/>
                <w:szCs w:val="16"/>
              </w:rPr>
            </w:pPr>
            <w:r>
              <w:rPr>
                <w:sz w:val="16"/>
                <w:szCs w:val="16"/>
              </w:rPr>
              <w:t>An overall program level weighted average, including the CMMHP programs, yields an overall electric energy savings NTGR of 0.64 and a natural gas energy savings NTGR of 0.60.  Excluding the CMMHP programs from the overall program averages yields an NTGR 0.58 for electric savings and 0.56 for natural gas savings.  The weighted average of the CMMHP only programs yields an NTGR of 0.79 for electric savings and 0.80 for natural gas savings.</w:t>
            </w:r>
          </w:p>
          <w:p w:rsidR="00185299" w:rsidRDefault="00482387" w:rsidP="003A4EE7">
            <w:pPr>
              <w:tabs>
                <w:tab w:val="decimal" w:pos="-2271"/>
                <w:tab w:val="decimal" w:pos="-1281"/>
              </w:tabs>
              <w:spacing w:after="0" w:line="240" w:lineRule="auto"/>
              <w:ind w:firstLine="158"/>
              <w:jc w:val="left"/>
              <w:rPr>
                <w:sz w:val="16"/>
                <w:szCs w:val="16"/>
              </w:rPr>
            </w:pPr>
            <w:r>
              <w:rPr>
                <w:sz w:val="16"/>
                <w:szCs w:val="16"/>
              </w:rPr>
              <w:t xml:space="preserve">The NTGR result for the PG&amp;E2000R program appears to be an outlier compared to the other programs.  </w:t>
            </w:r>
            <w:r w:rsidR="00977AC2">
              <w:rPr>
                <w:sz w:val="16"/>
                <w:szCs w:val="16"/>
              </w:rPr>
              <w:t>The study did not offer a</w:t>
            </w:r>
            <w:r>
              <w:rPr>
                <w:sz w:val="16"/>
                <w:szCs w:val="16"/>
              </w:rPr>
              <w:t xml:space="preserve"> direct </w:t>
            </w:r>
            <w:r w:rsidR="00977AC2">
              <w:rPr>
                <w:sz w:val="16"/>
                <w:szCs w:val="16"/>
              </w:rPr>
              <w:t>explanation why there is such a large difference.</w:t>
            </w:r>
            <w:r>
              <w:rPr>
                <w:sz w:val="16"/>
                <w:szCs w:val="16"/>
              </w:rPr>
              <w:t xml:space="preserve">  </w:t>
            </w:r>
            <w:r w:rsidR="003E4A1F">
              <w:rPr>
                <w:sz w:val="16"/>
                <w:szCs w:val="16"/>
              </w:rPr>
              <w:t xml:space="preserve">Our review points to two possibilities.  </w:t>
            </w:r>
            <w:r w:rsidR="00BD1B88">
              <w:rPr>
                <w:sz w:val="16"/>
                <w:szCs w:val="16"/>
              </w:rPr>
              <w:t>First, t</w:t>
            </w:r>
            <w:r>
              <w:rPr>
                <w:sz w:val="16"/>
                <w:szCs w:val="16"/>
              </w:rPr>
              <w:t>he PG&amp;E2000R was the only survey with significant number of respondents to all four parts of the free-ridership measurements and the only one with enough respondents to part four</w:t>
            </w:r>
            <w:r w:rsidR="00BD1B88">
              <w:rPr>
                <w:sz w:val="16"/>
                <w:szCs w:val="16"/>
              </w:rPr>
              <w:t xml:space="preserve"> (Table 7-13)</w:t>
            </w:r>
            <w:r>
              <w:rPr>
                <w:sz w:val="16"/>
                <w:szCs w:val="16"/>
              </w:rPr>
              <w:t xml:space="preserve">.  Hence, it </w:t>
            </w:r>
            <w:r w:rsidR="00185299">
              <w:rPr>
                <w:sz w:val="16"/>
                <w:szCs w:val="16"/>
              </w:rPr>
              <w:t xml:space="preserve">may be </w:t>
            </w:r>
            <w:r>
              <w:rPr>
                <w:sz w:val="16"/>
                <w:szCs w:val="16"/>
              </w:rPr>
              <w:t>the only NTGR result that is based on the average of all four parts</w:t>
            </w:r>
            <w:r w:rsidR="00185299">
              <w:rPr>
                <w:sz w:val="16"/>
                <w:szCs w:val="16"/>
              </w:rPr>
              <w:t xml:space="preserve">, </w:t>
            </w:r>
            <w:r w:rsidR="00185299">
              <w:rPr>
                <w:sz w:val="16"/>
                <w:szCs w:val="16"/>
              </w:rPr>
              <w:lastRenderedPageBreak/>
              <w:t>while the others may be the average of two or three of the components</w:t>
            </w:r>
            <w:r>
              <w:rPr>
                <w:sz w:val="16"/>
                <w:szCs w:val="16"/>
              </w:rPr>
              <w:t>.</w:t>
            </w:r>
          </w:p>
          <w:p w:rsidR="00977AC2" w:rsidRDefault="00BD1B88" w:rsidP="003A4EE7">
            <w:pPr>
              <w:tabs>
                <w:tab w:val="decimal" w:pos="-2271"/>
                <w:tab w:val="decimal" w:pos="-1281"/>
              </w:tabs>
              <w:spacing w:after="0" w:line="240" w:lineRule="auto"/>
              <w:ind w:firstLine="158"/>
              <w:jc w:val="left"/>
              <w:rPr>
                <w:sz w:val="16"/>
                <w:szCs w:val="16"/>
              </w:rPr>
            </w:pPr>
            <w:r>
              <w:rPr>
                <w:sz w:val="16"/>
                <w:szCs w:val="16"/>
              </w:rPr>
              <w:t xml:space="preserve">Second, the PG&amp;E2000R survey results had the highest proportion of respondents with </w:t>
            </w:r>
            <w:r w:rsidR="003E4A1F">
              <w:rPr>
                <w:sz w:val="16"/>
                <w:szCs w:val="16"/>
              </w:rPr>
              <w:t>an</w:t>
            </w:r>
            <w:r>
              <w:rPr>
                <w:sz w:val="16"/>
                <w:szCs w:val="16"/>
              </w:rPr>
              <w:t xml:space="preserve"> extreme “0.9 – 1” free-ridership ratio that isn’t offset by </w:t>
            </w:r>
            <w:r w:rsidR="00185299">
              <w:rPr>
                <w:sz w:val="16"/>
                <w:szCs w:val="16"/>
              </w:rPr>
              <w:t xml:space="preserve">a </w:t>
            </w:r>
            <w:r w:rsidR="003E4A1F">
              <w:rPr>
                <w:sz w:val="16"/>
                <w:szCs w:val="16"/>
              </w:rPr>
              <w:t>higher proportion</w:t>
            </w:r>
            <w:r>
              <w:rPr>
                <w:sz w:val="16"/>
                <w:szCs w:val="16"/>
              </w:rPr>
              <w:t xml:space="preserve"> of respondents in the </w:t>
            </w:r>
            <w:r w:rsidR="00185299">
              <w:rPr>
                <w:sz w:val="16"/>
                <w:szCs w:val="16"/>
              </w:rPr>
              <w:t xml:space="preserve">opposite </w:t>
            </w:r>
            <w:r>
              <w:rPr>
                <w:sz w:val="16"/>
                <w:szCs w:val="16"/>
              </w:rPr>
              <w:t xml:space="preserve">extreme </w:t>
            </w:r>
            <w:r w:rsidR="00185299">
              <w:rPr>
                <w:sz w:val="16"/>
                <w:szCs w:val="16"/>
              </w:rPr>
              <w:t xml:space="preserve">of </w:t>
            </w:r>
            <w:r>
              <w:rPr>
                <w:sz w:val="16"/>
                <w:szCs w:val="16"/>
              </w:rPr>
              <w:t>“0-0.1” free-ridership ratio range.</w:t>
            </w:r>
            <w:r w:rsidR="00185299">
              <w:rPr>
                <w:sz w:val="16"/>
                <w:szCs w:val="16"/>
              </w:rPr>
              <w:t xml:space="preserve"> Not including the PG&amp;E200R results in the program </w:t>
            </w:r>
            <w:r w:rsidR="003E4A1F">
              <w:rPr>
                <w:sz w:val="16"/>
                <w:szCs w:val="16"/>
              </w:rPr>
              <w:t xml:space="preserve">level </w:t>
            </w:r>
            <w:r w:rsidR="00185299">
              <w:rPr>
                <w:sz w:val="16"/>
                <w:szCs w:val="16"/>
              </w:rPr>
              <w:t>weighted averages yields NTGR values close to 0.81 for both electric and natural gas savings.</w:t>
            </w:r>
            <w:r>
              <w:rPr>
                <w:sz w:val="16"/>
                <w:szCs w:val="16"/>
              </w:rPr>
              <w:t xml:space="preserve">  </w:t>
            </w:r>
          </w:p>
          <w:p w:rsidR="002B46B8" w:rsidRDefault="002B46B8" w:rsidP="003A4EE7">
            <w:pPr>
              <w:tabs>
                <w:tab w:val="decimal" w:pos="-2271"/>
                <w:tab w:val="decimal" w:pos="-1281"/>
              </w:tabs>
              <w:spacing w:after="0" w:line="240" w:lineRule="auto"/>
              <w:ind w:firstLine="158"/>
              <w:jc w:val="left"/>
              <w:rPr>
                <w:sz w:val="16"/>
                <w:szCs w:val="16"/>
              </w:rPr>
            </w:pPr>
          </w:p>
          <w:p w:rsidR="002B46B8" w:rsidRDefault="003E4A1F" w:rsidP="003A4EE7">
            <w:pPr>
              <w:tabs>
                <w:tab w:val="decimal" w:pos="-2271"/>
                <w:tab w:val="decimal" w:pos="-1281"/>
              </w:tabs>
              <w:spacing w:after="0" w:line="240" w:lineRule="auto"/>
              <w:ind w:firstLine="158"/>
              <w:jc w:val="left"/>
              <w:rPr>
                <w:sz w:val="16"/>
                <w:szCs w:val="16"/>
              </w:rPr>
            </w:pPr>
            <w:r>
              <w:rPr>
                <w:sz w:val="16"/>
                <w:szCs w:val="16"/>
              </w:rPr>
              <w:t xml:space="preserve">The </w:t>
            </w:r>
            <w:r w:rsidR="002B46B8">
              <w:rPr>
                <w:sz w:val="16"/>
                <w:szCs w:val="16"/>
              </w:rPr>
              <w:t xml:space="preserve">IOU level weighted averages </w:t>
            </w:r>
            <w:r w:rsidR="00185299">
              <w:rPr>
                <w:sz w:val="16"/>
                <w:szCs w:val="16"/>
              </w:rPr>
              <w:t xml:space="preserve">are also a possible alternative and they </w:t>
            </w:r>
            <w:r w:rsidR="002B46B8">
              <w:rPr>
                <w:sz w:val="16"/>
                <w:szCs w:val="16"/>
              </w:rPr>
              <w:t>would be as follows:</w:t>
            </w:r>
          </w:p>
          <w:p w:rsidR="002B46B8" w:rsidRPr="002B46B8" w:rsidRDefault="002B46B8" w:rsidP="00977AC2">
            <w:pPr>
              <w:tabs>
                <w:tab w:val="decimal" w:pos="-2271"/>
                <w:tab w:val="decimal" w:pos="-1281"/>
                <w:tab w:val="left" w:pos="791"/>
                <w:tab w:val="left" w:pos="1601"/>
              </w:tabs>
              <w:spacing w:after="0" w:line="240" w:lineRule="auto"/>
              <w:ind w:firstLine="158"/>
              <w:jc w:val="left"/>
              <w:rPr>
                <w:b/>
                <w:sz w:val="16"/>
                <w:szCs w:val="16"/>
              </w:rPr>
            </w:pPr>
            <w:r>
              <w:rPr>
                <w:b/>
                <w:sz w:val="16"/>
                <w:szCs w:val="16"/>
              </w:rPr>
              <w:t>IOU</w:t>
            </w:r>
            <w:r w:rsidR="00977AC2">
              <w:rPr>
                <w:b/>
                <w:sz w:val="16"/>
                <w:szCs w:val="16"/>
              </w:rPr>
              <w:tab/>
              <w:t>Electric</w:t>
            </w:r>
            <w:r w:rsidR="00977AC2">
              <w:rPr>
                <w:b/>
                <w:sz w:val="16"/>
                <w:szCs w:val="16"/>
              </w:rPr>
              <w:tab/>
              <w:t>Nat. Gas</w:t>
            </w:r>
          </w:p>
          <w:p w:rsidR="002B46B8" w:rsidRDefault="002B46B8" w:rsidP="00977AC2">
            <w:pPr>
              <w:tabs>
                <w:tab w:val="decimal" w:pos="-2271"/>
                <w:tab w:val="decimal" w:pos="-1281"/>
                <w:tab w:val="decimal" w:pos="927"/>
                <w:tab w:val="decimal" w:pos="1781"/>
              </w:tabs>
              <w:spacing w:after="0" w:line="240" w:lineRule="auto"/>
              <w:ind w:firstLine="158"/>
              <w:jc w:val="left"/>
              <w:rPr>
                <w:sz w:val="16"/>
                <w:szCs w:val="16"/>
              </w:rPr>
            </w:pPr>
            <w:r>
              <w:rPr>
                <w:sz w:val="16"/>
                <w:szCs w:val="16"/>
              </w:rPr>
              <w:t>PG&amp;E</w:t>
            </w:r>
            <w:r w:rsidR="00977AC2">
              <w:rPr>
                <w:sz w:val="16"/>
                <w:szCs w:val="16"/>
              </w:rPr>
              <w:tab/>
              <w:t>0.56</w:t>
            </w:r>
            <w:r w:rsidR="00977AC2">
              <w:rPr>
                <w:sz w:val="16"/>
                <w:szCs w:val="16"/>
              </w:rPr>
              <w:tab/>
              <w:t>0.57</w:t>
            </w:r>
          </w:p>
          <w:p w:rsidR="00977AC2" w:rsidRDefault="00977AC2" w:rsidP="00977AC2">
            <w:pPr>
              <w:tabs>
                <w:tab w:val="decimal" w:pos="-2271"/>
                <w:tab w:val="decimal" w:pos="-1281"/>
                <w:tab w:val="decimal" w:pos="927"/>
                <w:tab w:val="decimal" w:pos="1781"/>
              </w:tabs>
              <w:spacing w:after="0" w:line="240" w:lineRule="auto"/>
              <w:ind w:firstLine="158"/>
              <w:jc w:val="left"/>
              <w:rPr>
                <w:sz w:val="16"/>
                <w:szCs w:val="16"/>
              </w:rPr>
            </w:pPr>
            <w:r>
              <w:rPr>
                <w:sz w:val="16"/>
                <w:szCs w:val="16"/>
              </w:rPr>
              <w:t>SCE</w:t>
            </w:r>
            <w:r>
              <w:rPr>
                <w:sz w:val="16"/>
                <w:szCs w:val="16"/>
              </w:rPr>
              <w:tab/>
              <w:t>0.83</w:t>
            </w:r>
            <w:r>
              <w:rPr>
                <w:sz w:val="16"/>
                <w:szCs w:val="16"/>
              </w:rPr>
              <w:tab/>
              <w:t>-</w:t>
            </w:r>
          </w:p>
          <w:p w:rsidR="00977AC2" w:rsidRDefault="00977AC2" w:rsidP="00977AC2">
            <w:pPr>
              <w:tabs>
                <w:tab w:val="decimal" w:pos="-2271"/>
                <w:tab w:val="decimal" w:pos="-1281"/>
                <w:tab w:val="decimal" w:pos="927"/>
                <w:tab w:val="decimal" w:pos="1781"/>
              </w:tabs>
              <w:spacing w:after="0" w:line="240" w:lineRule="auto"/>
              <w:ind w:firstLine="158"/>
              <w:jc w:val="left"/>
              <w:rPr>
                <w:sz w:val="16"/>
                <w:szCs w:val="16"/>
              </w:rPr>
            </w:pPr>
            <w:r>
              <w:rPr>
                <w:sz w:val="16"/>
                <w:szCs w:val="16"/>
              </w:rPr>
              <w:t>SCG</w:t>
            </w:r>
            <w:r>
              <w:rPr>
                <w:sz w:val="16"/>
                <w:szCs w:val="16"/>
              </w:rPr>
              <w:tab/>
              <w:t>-</w:t>
            </w:r>
            <w:r>
              <w:rPr>
                <w:sz w:val="16"/>
                <w:szCs w:val="16"/>
              </w:rPr>
              <w:tab/>
              <w:t>0.79</w:t>
            </w:r>
          </w:p>
          <w:p w:rsidR="00185299" w:rsidRDefault="00977AC2" w:rsidP="00185299">
            <w:pPr>
              <w:tabs>
                <w:tab w:val="decimal" w:pos="-2271"/>
                <w:tab w:val="decimal" w:pos="-1281"/>
                <w:tab w:val="decimal" w:pos="927"/>
                <w:tab w:val="decimal" w:pos="1781"/>
              </w:tabs>
              <w:spacing w:after="0" w:line="240" w:lineRule="auto"/>
              <w:ind w:firstLine="158"/>
              <w:jc w:val="left"/>
              <w:rPr>
                <w:sz w:val="16"/>
                <w:szCs w:val="16"/>
              </w:rPr>
            </w:pPr>
            <w:r>
              <w:rPr>
                <w:sz w:val="16"/>
                <w:szCs w:val="16"/>
              </w:rPr>
              <w:t>SDG&amp;E</w:t>
            </w:r>
            <w:r>
              <w:rPr>
                <w:sz w:val="16"/>
                <w:szCs w:val="16"/>
              </w:rPr>
              <w:tab/>
              <w:t>0.80</w:t>
            </w:r>
            <w:r>
              <w:rPr>
                <w:sz w:val="16"/>
                <w:szCs w:val="16"/>
              </w:rPr>
              <w:tab/>
              <w:t>0.80</w:t>
            </w:r>
          </w:p>
          <w:p w:rsidR="00185299" w:rsidRDefault="00185299" w:rsidP="00185299">
            <w:pPr>
              <w:tabs>
                <w:tab w:val="decimal" w:pos="-2271"/>
                <w:tab w:val="decimal" w:pos="-1281"/>
                <w:tab w:val="decimal" w:pos="927"/>
                <w:tab w:val="decimal" w:pos="1781"/>
              </w:tabs>
              <w:spacing w:after="0" w:line="240" w:lineRule="auto"/>
              <w:ind w:firstLine="158"/>
              <w:jc w:val="left"/>
              <w:rPr>
                <w:sz w:val="16"/>
                <w:szCs w:val="16"/>
              </w:rPr>
            </w:pPr>
          </w:p>
          <w:p w:rsidR="00185299" w:rsidRDefault="00C40802" w:rsidP="00185299">
            <w:pPr>
              <w:tabs>
                <w:tab w:val="decimal" w:pos="-2271"/>
                <w:tab w:val="decimal" w:pos="-1281"/>
                <w:tab w:val="decimal" w:pos="927"/>
                <w:tab w:val="decimal" w:pos="1781"/>
              </w:tabs>
              <w:spacing w:after="0" w:line="240" w:lineRule="auto"/>
              <w:ind w:firstLine="158"/>
              <w:jc w:val="left"/>
              <w:rPr>
                <w:sz w:val="16"/>
                <w:szCs w:val="16"/>
              </w:rPr>
            </w:pPr>
            <w:r>
              <w:rPr>
                <w:sz w:val="16"/>
                <w:szCs w:val="16"/>
              </w:rPr>
              <w:t>Thus, t</w:t>
            </w:r>
            <w:r w:rsidR="00185299">
              <w:rPr>
                <w:sz w:val="16"/>
                <w:szCs w:val="16"/>
              </w:rPr>
              <w:t xml:space="preserve">he utility level values again point to the PG&amp;E result as </w:t>
            </w:r>
            <w:r>
              <w:rPr>
                <w:sz w:val="16"/>
                <w:szCs w:val="16"/>
              </w:rPr>
              <w:t>a potential extreme.</w:t>
            </w:r>
          </w:p>
          <w:p w:rsidR="00C40802" w:rsidRDefault="00C40802" w:rsidP="00C40802">
            <w:pPr>
              <w:tabs>
                <w:tab w:val="decimal" w:pos="-2271"/>
                <w:tab w:val="decimal" w:pos="-1281"/>
                <w:tab w:val="decimal" w:pos="927"/>
                <w:tab w:val="decimal" w:pos="1781"/>
              </w:tabs>
              <w:spacing w:after="0" w:line="240" w:lineRule="auto"/>
              <w:ind w:firstLine="158"/>
              <w:jc w:val="left"/>
              <w:rPr>
                <w:sz w:val="16"/>
                <w:szCs w:val="16"/>
              </w:rPr>
            </w:pPr>
            <w:r>
              <w:rPr>
                <w:sz w:val="16"/>
                <w:szCs w:val="16"/>
              </w:rPr>
              <w:t>Taking into consideration that the standalone DTS EEM may become a bundled EEM within the broader scope the IOUs HVAC Maintenance programs, and that it is difficult to judge, without detail examination of the survey responses and scoring, whether the PG&amp;E2000R result is the one valid result and the other program results are outliers or vice-versa, the TG8 team believes that the ’06-’08 NTGR results should not be used to determine a revised NTGR for the standalone DTS EEM.</w:t>
            </w:r>
          </w:p>
          <w:p w:rsidR="00C40802" w:rsidRDefault="00C40802" w:rsidP="00C40802">
            <w:pPr>
              <w:tabs>
                <w:tab w:val="decimal" w:pos="-2271"/>
                <w:tab w:val="decimal" w:pos="-1281"/>
                <w:tab w:val="decimal" w:pos="927"/>
                <w:tab w:val="decimal" w:pos="1781"/>
              </w:tabs>
              <w:spacing w:after="0" w:line="240" w:lineRule="auto"/>
              <w:ind w:firstLine="158"/>
              <w:jc w:val="left"/>
              <w:rPr>
                <w:sz w:val="16"/>
                <w:szCs w:val="16"/>
              </w:rPr>
            </w:pPr>
          </w:p>
          <w:p w:rsidR="00C40802" w:rsidRDefault="00C40802" w:rsidP="00C40802">
            <w:pPr>
              <w:tabs>
                <w:tab w:val="decimal" w:pos="-2271"/>
                <w:tab w:val="decimal" w:pos="-1281"/>
                <w:tab w:val="decimal" w:pos="927"/>
                <w:tab w:val="decimal" w:pos="1781"/>
              </w:tabs>
              <w:spacing w:after="0" w:line="240" w:lineRule="auto"/>
              <w:ind w:firstLine="158"/>
              <w:jc w:val="left"/>
              <w:rPr>
                <w:sz w:val="16"/>
                <w:szCs w:val="16"/>
              </w:rPr>
            </w:pPr>
            <w:r>
              <w:rPr>
                <w:b/>
                <w:sz w:val="16"/>
                <w:szCs w:val="16"/>
              </w:rPr>
              <w:t xml:space="preserve">Recommend </w:t>
            </w:r>
            <w:r w:rsidR="00F547FA">
              <w:rPr>
                <w:b/>
                <w:sz w:val="16"/>
                <w:szCs w:val="16"/>
              </w:rPr>
              <w:t xml:space="preserve">no change to </w:t>
            </w:r>
            <w:r>
              <w:rPr>
                <w:b/>
                <w:sz w:val="16"/>
                <w:szCs w:val="16"/>
              </w:rPr>
              <w:t>the current NTGR value of 0.78</w:t>
            </w:r>
            <w:r w:rsidR="006D3ECA">
              <w:rPr>
                <w:b/>
                <w:sz w:val="16"/>
                <w:szCs w:val="16"/>
              </w:rPr>
              <w:t xml:space="preserve"> for </w:t>
            </w:r>
            <w:r w:rsidR="006D3ECA">
              <w:rPr>
                <w:b/>
                <w:sz w:val="16"/>
                <w:szCs w:val="16"/>
              </w:rPr>
              <w:lastRenderedPageBreak/>
              <w:t>midstream and downstream delivery.</w:t>
            </w:r>
          </w:p>
          <w:p w:rsidR="00C40802" w:rsidRPr="00C40802" w:rsidRDefault="00C40802" w:rsidP="00C40802">
            <w:pPr>
              <w:tabs>
                <w:tab w:val="decimal" w:pos="-2271"/>
                <w:tab w:val="decimal" w:pos="-1281"/>
                <w:tab w:val="decimal" w:pos="927"/>
                <w:tab w:val="decimal" w:pos="1781"/>
              </w:tabs>
              <w:spacing w:after="0" w:line="240" w:lineRule="auto"/>
              <w:ind w:firstLine="158"/>
              <w:jc w:val="left"/>
              <w:rPr>
                <w:sz w:val="16"/>
                <w:szCs w:val="16"/>
              </w:rPr>
            </w:pPr>
          </w:p>
        </w:tc>
      </w:tr>
      <w:tr w:rsidR="00A64AA5" w:rsidRPr="00410CDB" w:rsidTr="00D5435A">
        <w:trPr>
          <w:cantSplit/>
          <w:trHeight w:val="322"/>
        </w:trPr>
        <w:tc>
          <w:tcPr>
            <w:tcW w:w="519" w:type="pct"/>
            <w:tcBorders>
              <w:left w:val="single" w:sz="12" w:space="0" w:color="000000"/>
            </w:tcBorders>
            <w:vAlign w:val="center"/>
          </w:tcPr>
          <w:p w:rsidR="00A64AA5" w:rsidRPr="00A64AA5" w:rsidRDefault="00A64AA5" w:rsidP="00A64AA5">
            <w:pPr>
              <w:spacing w:after="0" w:line="240" w:lineRule="auto"/>
              <w:jc w:val="left"/>
              <w:rPr>
                <w:rFonts w:eastAsiaTheme="minorHAnsi"/>
                <w:sz w:val="16"/>
                <w:szCs w:val="16"/>
              </w:rPr>
            </w:pPr>
            <w:r w:rsidRPr="00A64AA5">
              <w:rPr>
                <w:rFonts w:eastAsiaTheme="minorHAnsi"/>
                <w:sz w:val="16"/>
                <w:szCs w:val="16"/>
              </w:rPr>
              <w:lastRenderedPageBreak/>
              <w:t>HVAC Maintenance:</w:t>
            </w:r>
          </w:p>
          <w:p w:rsidR="00A64AA5" w:rsidRPr="00A64AA5" w:rsidRDefault="00A64AA5" w:rsidP="00A64AA5">
            <w:pPr>
              <w:spacing w:after="0" w:line="240" w:lineRule="auto"/>
              <w:jc w:val="left"/>
              <w:rPr>
                <w:rFonts w:eastAsiaTheme="minorHAnsi"/>
                <w:sz w:val="16"/>
                <w:szCs w:val="16"/>
              </w:rPr>
            </w:pPr>
            <w:r w:rsidRPr="00A64AA5">
              <w:rPr>
                <w:rFonts w:eastAsiaTheme="minorHAnsi"/>
                <w:sz w:val="16"/>
                <w:szCs w:val="16"/>
              </w:rPr>
              <w:t>Refrigerant Charge Adjustment</w:t>
            </w:r>
          </w:p>
        </w:tc>
        <w:tc>
          <w:tcPr>
            <w:tcW w:w="479" w:type="pct"/>
            <w:vAlign w:val="center"/>
          </w:tcPr>
          <w:p w:rsidR="00A64AA5" w:rsidRDefault="006F18C5" w:rsidP="00A64AA5">
            <w:pPr>
              <w:spacing w:after="0" w:line="240" w:lineRule="auto"/>
              <w:jc w:val="center"/>
              <w:rPr>
                <w:sz w:val="16"/>
                <w:szCs w:val="16"/>
              </w:rPr>
            </w:pPr>
            <w:r>
              <w:rPr>
                <w:sz w:val="16"/>
                <w:szCs w:val="16"/>
              </w:rPr>
              <w:t>0.78</w:t>
            </w:r>
          </w:p>
        </w:tc>
        <w:tc>
          <w:tcPr>
            <w:tcW w:w="444" w:type="pct"/>
            <w:vAlign w:val="center"/>
          </w:tcPr>
          <w:p w:rsidR="00A64AA5" w:rsidRDefault="006F18C5" w:rsidP="00F23F44">
            <w:pPr>
              <w:spacing w:after="0" w:line="240" w:lineRule="auto"/>
              <w:jc w:val="left"/>
              <w:rPr>
                <w:sz w:val="16"/>
                <w:szCs w:val="16"/>
              </w:rPr>
            </w:pPr>
            <w:r>
              <w:rPr>
                <w:sz w:val="16"/>
                <w:szCs w:val="16"/>
              </w:rPr>
              <w:t>Free Tune-up/Repair</w:t>
            </w:r>
          </w:p>
        </w:tc>
        <w:tc>
          <w:tcPr>
            <w:tcW w:w="785" w:type="pct"/>
            <w:vAlign w:val="center"/>
          </w:tcPr>
          <w:p w:rsidR="00A64AA5" w:rsidRPr="002F22D5" w:rsidRDefault="006F18C5" w:rsidP="006F18C5">
            <w:pPr>
              <w:spacing w:after="0" w:line="240" w:lineRule="auto"/>
              <w:jc w:val="left"/>
              <w:rPr>
                <w:sz w:val="16"/>
                <w:szCs w:val="16"/>
              </w:rPr>
            </w:pPr>
            <w:r w:rsidRPr="00E03396">
              <w:rPr>
                <w:sz w:val="16"/>
                <w:szCs w:val="16"/>
              </w:rPr>
              <w:t>Evaluation Measurement and Verification of the California Public Utilities Commission HVAC High Impact Measures and Specialized Commercial Contract Group Programs, 2006 – 2008 Program Year, Final Consultant Report, Volumes 1 and 2, KEMA, February 2010</w:t>
            </w:r>
            <w:r>
              <w:rPr>
                <w:sz w:val="16"/>
                <w:szCs w:val="16"/>
              </w:rPr>
              <w:t xml:space="preserve"> [Ch. 5]</w:t>
            </w:r>
          </w:p>
        </w:tc>
        <w:tc>
          <w:tcPr>
            <w:tcW w:w="888" w:type="pct"/>
            <w:vAlign w:val="center"/>
          </w:tcPr>
          <w:p w:rsidR="006F18C5" w:rsidRDefault="006F18C5" w:rsidP="006F18C5">
            <w:pPr>
              <w:spacing w:after="0" w:line="240" w:lineRule="auto"/>
              <w:jc w:val="left"/>
              <w:rPr>
                <w:sz w:val="16"/>
                <w:szCs w:val="16"/>
              </w:rPr>
            </w:pPr>
            <w:r>
              <w:rPr>
                <w:sz w:val="16"/>
                <w:szCs w:val="16"/>
              </w:rPr>
              <w:t>The study utilized telephone surveys to estimate the following:</w:t>
            </w:r>
          </w:p>
          <w:p w:rsidR="006F18C5" w:rsidRDefault="006F18C5" w:rsidP="006F18C5">
            <w:pPr>
              <w:tabs>
                <w:tab w:val="decimal" w:pos="0"/>
                <w:tab w:val="decimal" w:pos="973"/>
                <w:tab w:val="decimal" w:pos="1423"/>
                <w:tab w:val="decimal" w:pos="1963"/>
              </w:tabs>
              <w:spacing w:after="0" w:line="240" w:lineRule="auto"/>
              <w:jc w:val="left"/>
              <w:rPr>
                <w:sz w:val="16"/>
                <w:szCs w:val="16"/>
              </w:rPr>
            </w:pPr>
          </w:p>
          <w:p w:rsidR="006F18C5" w:rsidRDefault="006F18C5" w:rsidP="006F18C5">
            <w:pPr>
              <w:tabs>
                <w:tab w:val="center" w:pos="1238"/>
              </w:tabs>
              <w:spacing w:after="0" w:line="240" w:lineRule="auto"/>
              <w:jc w:val="left"/>
              <w:rPr>
                <w:sz w:val="16"/>
                <w:szCs w:val="16"/>
              </w:rPr>
            </w:pPr>
            <w:r>
              <w:rPr>
                <w:sz w:val="16"/>
                <w:szCs w:val="16"/>
              </w:rPr>
              <w:tab/>
              <w:t>NTGR</w:t>
            </w:r>
          </w:p>
          <w:p w:rsidR="006F18C5" w:rsidRDefault="006F18C5" w:rsidP="006F18C5">
            <w:pPr>
              <w:tabs>
                <w:tab w:val="decimal" w:pos="696"/>
                <w:tab w:val="decimal" w:pos="1228"/>
              </w:tabs>
              <w:spacing w:after="0" w:line="240" w:lineRule="auto"/>
              <w:jc w:val="left"/>
              <w:rPr>
                <w:sz w:val="16"/>
                <w:szCs w:val="16"/>
              </w:rPr>
            </w:pPr>
            <w:r>
              <w:rPr>
                <w:sz w:val="16"/>
                <w:szCs w:val="16"/>
              </w:rPr>
              <w:t>PG&amp;E2000</w:t>
            </w:r>
            <w:r>
              <w:rPr>
                <w:sz w:val="16"/>
                <w:szCs w:val="16"/>
              </w:rPr>
              <w:tab/>
              <w:t>0.63</w:t>
            </w:r>
          </w:p>
          <w:p w:rsidR="006F18C5" w:rsidRDefault="006F18C5" w:rsidP="006F18C5">
            <w:pPr>
              <w:tabs>
                <w:tab w:val="decimal" w:pos="696"/>
                <w:tab w:val="decimal" w:pos="1228"/>
              </w:tabs>
              <w:spacing w:after="0" w:line="240" w:lineRule="auto"/>
              <w:jc w:val="left"/>
              <w:rPr>
                <w:sz w:val="16"/>
                <w:szCs w:val="16"/>
              </w:rPr>
            </w:pPr>
            <w:r>
              <w:rPr>
                <w:sz w:val="16"/>
                <w:szCs w:val="16"/>
              </w:rPr>
              <w:t>PG&amp;E2078R</w:t>
            </w:r>
            <w:r>
              <w:rPr>
                <w:sz w:val="16"/>
                <w:szCs w:val="16"/>
              </w:rPr>
              <w:tab/>
              <w:t>0.78</w:t>
            </w:r>
          </w:p>
          <w:p w:rsidR="006F18C5" w:rsidRDefault="006F18C5" w:rsidP="006F18C5">
            <w:pPr>
              <w:tabs>
                <w:tab w:val="decimal" w:pos="696"/>
                <w:tab w:val="decimal" w:pos="1228"/>
              </w:tabs>
              <w:spacing w:after="0" w:line="240" w:lineRule="auto"/>
              <w:jc w:val="left"/>
              <w:rPr>
                <w:sz w:val="16"/>
                <w:szCs w:val="16"/>
              </w:rPr>
            </w:pPr>
            <w:r>
              <w:rPr>
                <w:sz w:val="16"/>
                <w:szCs w:val="16"/>
              </w:rPr>
              <w:t xml:space="preserve">SCE2502   </w:t>
            </w:r>
            <w:r>
              <w:rPr>
                <w:sz w:val="16"/>
                <w:szCs w:val="16"/>
              </w:rPr>
              <w:tab/>
              <w:t>0.78</w:t>
            </w:r>
          </w:p>
          <w:p w:rsidR="006F18C5" w:rsidRDefault="006F18C5" w:rsidP="006F18C5">
            <w:pPr>
              <w:tabs>
                <w:tab w:val="decimal" w:pos="696"/>
                <w:tab w:val="decimal" w:pos="1228"/>
              </w:tabs>
              <w:spacing w:after="0" w:line="240" w:lineRule="auto"/>
              <w:jc w:val="left"/>
              <w:rPr>
                <w:sz w:val="16"/>
                <w:szCs w:val="16"/>
              </w:rPr>
            </w:pPr>
            <w:r>
              <w:rPr>
                <w:sz w:val="16"/>
                <w:szCs w:val="16"/>
              </w:rPr>
              <w:t xml:space="preserve">SCE2507   </w:t>
            </w:r>
            <w:r>
              <w:rPr>
                <w:sz w:val="16"/>
                <w:szCs w:val="16"/>
              </w:rPr>
              <w:tab/>
              <w:t>0.97</w:t>
            </w:r>
          </w:p>
          <w:p w:rsidR="00A64AA5" w:rsidRPr="002F22D5" w:rsidRDefault="006F18C5" w:rsidP="006F18C5">
            <w:pPr>
              <w:tabs>
                <w:tab w:val="decimal" w:pos="696"/>
                <w:tab w:val="decimal" w:pos="1228"/>
              </w:tabs>
              <w:spacing w:after="0" w:line="240" w:lineRule="auto"/>
              <w:jc w:val="left"/>
              <w:rPr>
                <w:sz w:val="16"/>
                <w:szCs w:val="16"/>
              </w:rPr>
            </w:pPr>
            <w:r>
              <w:rPr>
                <w:sz w:val="16"/>
                <w:szCs w:val="16"/>
              </w:rPr>
              <w:t>SDGE3035</w:t>
            </w:r>
            <w:r>
              <w:rPr>
                <w:sz w:val="16"/>
                <w:szCs w:val="16"/>
              </w:rPr>
              <w:tab/>
              <w:t>0.78</w:t>
            </w:r>
          </w:p>
        </w:tc>
        <w:tc>
          <w:tcPr>
            <w:tcW w:w="888" w:type="pct"/>
            <w:vAlign w:val="center"/>
          </w:tcPr>
          <w:p w:rsidR="00A64AA5" w:rsidRPr="0006689F" w:rsidRDefault="006F18C5" w:rsidP="006F18C5">
            <w:pPr>
              <w:spacing w:after="0" w:line="240" w:lineRule="auto"/>
              <w:ind w:firstLine="160"/>
              <w:jc w:val="left"/>
              <w:rPr>
                <w:sz w:val="16"/>
                <w:szCs w:val="16"/>
              </w:rPr>
            </w:pPr>
            <w:r>
              <w:rPr>
                <w:sz w:val="16"/>
                <w:szCs w:val="16"/>
              </w:rPr>
              <w:t>Similar to Duct Sealing NTG - A</w:t>
            </w:r>
            <w:r w:rsidRPr="00582E0C">
              <w:rPr>
                <w:sz w:val="16"/>
                <w:szCs w:val="16"/>
              </w:rPr>
              <w:t xml:space="preserve"> participant self-report approach was used to estimate the net-to-gross ratio. </w:t>
            </w:r>
            <w:r w:rsidRPr="00A85325">
              <w:rPr>
                <w:sz w:val="16"/>
                <w:szCs w:val="16"/>
              </w:rPr>
              <w:t xml:space="preserve">The program deliveries allowed flexibility to the contractor in terms of the marketing and incentive, especially for RCA and duct-sealing measures. This required a method that supplemented the participant self-report surveys with contractor surveys. </w:t>
            </w:r>
            <w:r w:rsidRPr="00582E0C">
              <w:rPr>
                <w:sz w:val="16"/>
                <w:szCs w:val="16"/>
              </w:rPr>
              <w:t>The NTGR algorithm derived four separate measurements of free-ridership from different inquiry routes. These four measurements were averaged to derive the final free-ridership estimate at the measure level.</w:t>
            </w:r>
          </w:p>
        </w:tc>
        <w:tc>
          <w:tcPr>
            <w:tcW w:w="997" w:type="pct"/>
            <w:tcBorders>
              <w:right w:val="single" w:sz="12" w:space="0" w:color="000000"/>
            </w:tcBorders>
          </w:tcPr>
          <w:p w:rsidR="00F547FA" w:rsidRDefault="00DA43F8" w:rsidP="00AE3CD7">
            <w:pPr>
              <w:spacing w:after="0" w:line="240" w:lineRule="auto"/>
              <w:ind w:firstLine="158"/>
              <w:jc w:val="left"/>
              <w:rPr>
                <w:sz w:val="16"/>
                <w:szCs w:val="16"/>
              </w:rPr>
            </w:pPr>
            <w:r>
              <w:rPr>
                <w:sz w:val="16"/>
                <w:szCs w:val="16"/>
              </w:rPr>
              <w:t xml:space="preserve">The program level </w:t>
            </w:r>
            <w:r w:rsidR="00F8328D">
              <w:rPr>
                <w:sz w:val="16"/>
                <w:szCs w:val="16"/>
              </w:rPr>
              <w:t xml:space="preserve">NTGR results </w:t>
            </w:r>
            <w:r>
              <w:rPr>
                <w:sz w:val="16"/>
                <w:szCs w:val="16"/>
              </w:rPr>
              <w:t>from this study yield a</w:t>
            </w:r>
            <w:r w:rsidR="008025C7">
              <w:rPr>
                <w:sz w:val="16"/>
                <w:szCs w:val="16"/>
              </w:rPr>
              <w:t>n ex post energy</w:t>
            </w:r>
            <w:r>
              <w:rPr>
                <w:sz w:val="16"/>
                <w:szCs w:val="16"/>
              </w:rPr>
              <w:t xml:space="preserve"> w</w:t>
            </w:r>
            <w:r w:rsidR="00F8328D">
              <w:rPr>
                <w:sz w:val="16"/>
                <w:szCs w:val="16"/>
              </w:rPr>
              <w:t xml:space="preserve">eighted average value of 0.88 due primarily to the large </w:t>
            </w:r>
            <w:r w:rsidR="006B70A3">
              <w:rPr>
                <w:sz w:val="16"/>
                <w:szCs w:val="16"/>
              </w:rPr>
              <w:t>ex post savings and high NTGR value for the SCE 2507 program (0.97)</w:t>
            </w:r>
            <w:r w:rsidR="00E955DA">
              <w:rPr>
                <w:sz w:val="16"/>
                <w:szCs w:val="16"/>
              </w:rPr>
              <w:t>. The differences among the program results are not well explained in the study</w:t>
            </w:r>
            <w:r w:rsidR="006B70A3">
              <w:rPr>
                <w:sz w:val="16"/>
                <w:szCs w:val="16"/>
              </w:rPr>
              <w:t xml:space="preserve">.  </w:t>
            </w:r>
            <w:r w:rsidR="00E955DA">
              <w:rPr>
                <w:sz w:val="16"/>
                <w:szCs w:val="16"/>
              </w:rPr>
              <w:t xml:space="preserve">As with the DTS EEM, the PG&amp;E 2000 program low results are affected by the extreme responses within the single family surveys (“0-0.1 FR ratio: 0% and 0.9-1 FR ratio 13.8%).  </w:t>
            </w:r>
            <w:r w:rsidR="006B70A3">
              <w:rPr>
                <w:sz w:val="16"/>
                <w:szCs w:val="16"/>
              </w:rPr>
              <w:t>Without the SCE result</w:t>
            </w:r>
            <w:r w:rsidR="00E955DA">
              <w:rPr>
                <w:sz w:val="16"/>
                <w:szCs w:val="16"/>
              </w:rPr>
              <w:t xml:space="preserve"> included in the average</w:t>
            </w:r>
            <w:r w:rsidR="006B70A3">
              <w:rPr>
                <w:sz w:val="16"/>
                <w:szCs w:val="16"/>
              </w:rPr>
              <w:t xml:space="preserve">, the weighted average drops to 0.68.  </w:t>
            </w:r>
            <w:r w:rsidR="00C349A4">
              <w:rPr>
                <w:sz w:val="16"/>
                <w:szCs w:val="16"/>
              </w:rPr>
              <w:t xml:space="preserve">The midpoint between the two </w:t>
            </w:r>
            <w:r w:rsidR="00E955DA">
              <w:rPr>
                <w:sz w:val="16"/>
                <w:szCs w:val="16"/>
              </w:rPr>
              <w:t xml:space="preserve">weighted average </w:t>
            </w:r>
            <w:r w:rsidR="00C349A4">
              <w:rPr>
                <w:sz w:val="16"/>
                <w:szCs w:val="16"/>
              </w:rPr>
              <w:t>values is 0.78, the currently adopted value for this measure.</w:t>
            </w:r>
          </w:p>
          <w:p w:rsidR="00C349A4" w:rsidRDefault="00C349A4" w:rsidP="00C349A4">
            <w:pPr>
              <w:tabs>
                <w:tab w:val="decimal" w:pos="-2271"/>
                <w:tab w:val="decimal" w:pos="-1281"/>
              </w:tabs>
              <w:spacing w:after="0" w:line="240" w:lineRule="auto"/>
              <w:ind w:firstLine="158"/>
              <w:jc w:val="left"/>
              <w:rPr>
                <w:sz w:val="16"/>
                <w:szCs w:val="16"/>
              </w:rPr>
            </w:pPr>
            <w:r>
              <w:rPr>
                <w:sz w:val="16"/>
                <w:szCs w:val="16"/>
              </w:rPr>
              <w:t xml:space="preserve">In addition, future programs are unlikely to offer the RCA EEM as a standalone measure.  Going forward, the EEM is part of the HVAC Quality Maintenance Programs.  The programs launched in June 2011.  </w:t>
            </w:r>
          </w:p>
          <w:p w:rsidR="008025C7" w:rsidRDefault="00C349A4" w:rsidP="00C349A4">
            <w:pPr>
              <w:spacing w:after="0" w:line="240" w:lineRule="auto"/>
              <w:ind w:firstLine="158"/>
              <w:jc w:val="left"/>
              <w:rPr>
                <w:sz w:val="16"/>
                <w:szCs w:val="16"/>
              </w:rPr>
            </w:pPr>
            <w:r>
              <w:rPr>
                <w:sz w:val="16"/>
                <w:szCs w:val="16"/>
              </w:rPr>
              <w:t xml:space="preserve">There are significant uncertainties and issues that persist for this measure.  It is anticipated that the ongoing 2010-2012 EM&amp;V research efforts may address many of the issues.  Given the change in delivery approach for this measure going forward, I do not recommend the study’s NTGR values be </w:t>
            </w:r>
            <w:r w:rsidR="006C5059">
              <w:rPr>
                <w:sz w:val="16"/>
                <w:szCs w:val="16"/>
              </w:rPr>
              <w:t>used to set the recommended 2011 NTGR value.</w:t>
            </w:r>
          </w:p>
          <w:p w:rsidR="006C5059" w:rsidRDefault="006C5059" w:rsidP="00C349A4">
            <w:pPr>
              <w:spacing w:after="0" w:line="240" w:lineRule="auto"/>
              <w:ind w:firstLine="158"/>
              <w:jc w:val="left"/>
              <w:rPr>
                <w:sz w:val="16"/>
                <w:szCs w:val="16"/>
              </w:rPr>
            </w:pPr>
          </w:p>
          <w:p w:rsidR="00A64AA5" w:rsidRDefault="00AE3CD7" w:rsidP="00AE3CD7">
            <w:pPr>
              <w:spacing w:after="0" w:line="240" w:lineRule="auto"/>
              <w:ind w:firstLine="158"/>
              <w:jc w:val="left"/>
              <w:rPr>
                <w:b/>
                <w:sz w:val="16"/>
                <w:szCs w:val="16"/>
              </w:rPr>
            </w:pPr>
            <w:r w:rsidRPr="00F547FA">
              <w:rPr>
                <w:b/>
                <w:sz w:val="16"/>
                <w:szCs w:val="16"/>
              </w:rPr>
              <w:t>Recommend no change to the existing NTGR value of 0.78</w:t>
            </w:r>
            <w:r w:rsidR="006D3ECA">
              <w:rPr>
                <w:b/>
                <w:sz w:val="16"/>
                <w:szCs w:val="16"/>
              </w:rPr>
              <w:t xml:space="preserve"> for midstream delivery.</w:t>
            </w:r>
          </w:p>
          <w:p w:rsidR="00E955DA" w:rsidRPr="00F547FA" w:rsidRDefault="00E955DA" w:rsidP="00AE3CD7">
            <w:pPr>
              <w:spacing w:after="0" w:line="240" w:lineRule="auto"/>
              <w:ind w:firstLine="158"/>
              <w:jc w:val="left"/>
              <w:rPr>
                <w:b/>
                <w:sz w:val="16"/>
                <w:szCs w:val="16"/>
              </w:rPr>
            </w:pPr>
          </w:p>
        </w:tc>
      </w:tr>
      <w:tr w:rsidR="00A64AA5" w:rsidRPr="00410CDB" w:rsidTr="00D5435A">
        <w:trPr>
          <w:cantSplit/>
          <w:trHeight w:val="322"/>
        </w:trPr>
        <w:tc>
          <w:tcPr>
            <w:tcW w:w="519" w:type="pct"/>
            <w:tcBorders>
              <w:left w:val="single" w:sz="12" w:space="0" w:color="000000"/>
            </w:tcBorders>
            <w:vAlign w:val="center"/>
          </w:tcPr>
          <w:p w:rsidR="00A64AA5" w:rsidRPr="00A64AA5" w:rsidRDefault="00A64AA5" w:rsidP="00A64AA5">
            <w:pPr>
              <w:spacing w:after="0" w:line="240" w:lineRule="auto"/>
              <w:jc w:val="left"/>
              <w:rPr>
                <w:rFonts w:eastAsiaTheme="minorHAnsi"/>
                <w:sz w:val="16"/>
                <w:szCs w:val="16"/>
              </w:rPr>
            </w:pPr>
            <w:r w:rsidRPr="00A64AA5">
              <w:rPr>
                <w:rFonts w:eastAsiaTheme="minorHAnsi"/>
                <w:sz w:val="16"/>
                <w:szCs w:val="16"/>
              </w:rPr>
              <w:lastRenderedPageBreak/>
              <w:t>Roof and Wall Insulation</w:t>
            </w:r>
          </w:p>
        </w:tc>
        <w:tc>
          <w:tcPr>
            <w:tcW w:w="479" w:type="pct"/>
            <w:vAlign w:val="center"/>
          </w:tcPr>
          <w:p w:rsidR="00A64AA5" w:rsidRDefault="00457448" w:rsidP="00A64AA5">
            <w:pPr>
              <w:spacing w:after="0" w:line="240" w:lineRule="auto"/>
              <w:jc w:val="center"/>
              <w:rPr>
                <w:sz w:val="16"/>
                <w:szCs w:val="16"/>
              </w:rPr>
            </w:pPr>
            <w:r>
              <w:rPr>
                <w:sz w:val="16"/>
                <w:szCs w:val="16"/>
              </w:rPr>
              <w:t>0.70</w:t>
            </w:r>
          </w:p>
        </w:tc>
        <w:tc>
          <w:tcPr>
            <w:tcW w:w="444" w:type="pct"/>
            <w:vAlign w:val="center"/>
          </w:tcPr>
          <w:p w:rsidR="00A64AA5" w:rsidRDefault="00457448" w:rsidP="00F23F44">
            <w:pPr>
              <w:spacing w:after="0" w:line="240" w:lineRule="auto"/>
              <w:jc w:val="left"/>
              <w:rPr>
                <w:sz w:val="16"/>
                <w:szCs w:val="16"/>
              </w:rPr>
            </w:pPr>
            <w:r>
              <w:rPr>
                <w:sz w:val="16"/>
                <w:szCs w:val="16"/>
              </w:rPr>
              <w:t>Downstream</w:t>
            </w:r>
          </w:p>
        </w:tc>
        <w:tc>
          <w:tcPr>
            <w:tcW w:w="785" w:type="pct"/>
            <w:vAlign w:val="center"/>
          </w:tcPr>
          <w:p w:rsidR="00A64AA5" w:rsidRPr="002F22D5" w:rsidRDefault="00457448" w:rsidP="00457448">
            <w:pPr>
              <w:spacing w:after="0" w:line="240" w:lineRule="auto"/>
              <w:jc w:val="left"/>
              <w:rPr>
                <w:sz w:val="16"/>
                <w:szCs w:val="16"/>
              </w:rPr>
            </w:pPr>
            <w:r w:rsidRPr="00BB6C3D">
              <w:rPr>
                <w:sz w:val="16"/>
                <w:szCs w:val="16"/>
              </w:rPr>
              <w:t xml:space="preserve">EM&amp;V of the CPUC Residential Retrofit </w:t>
            </w:r>
            <w:r>
              <w:rPr>
                <w:sz w:val="16"/>
                <w:szCs w:val="16"/>
              </w:rPr>
              <w:t xml:space="preserve">HIM </w:t>
            </w:r>
            <w:r w:rsidRPr="00BB6C3D">
              <w:rPr>
                <w:sz w:val="16"/>
                <w:szCs w:val="16"/>
              </w:rPr>
              <w:t>Evaluation Report and Appendices, February 8, 2010, The CADMUS Group</w:t>
            </w:r>
            <w:r>
              <w:rPr>
                <w:sz w:val="16"/>
                <w:szCs w:val="16"/>
              </w:rPr>
              <w:t xml:space="preserve"> [Ch. 10]</w:t>
            </w:r>
          </w:p>
        </w:tc>
        <w:tc>
          <w:tcPr>
            <w:tcW w:w="888" w:type="pct"/>
            <w:vAlign w:val="center"/>
          </w:tcPr>
          <w:p w:rsidR="00457448" w:rsidRDefault="00457448" w:rsidP="00457448">
            <w:pPr>
              <w:spacing w:after="0" w:line="240" w:lineRule="auto"/>
              <w:jc w:val="left"/>
              <w:rPr>
                <w:sz w:val="16"/>
                <w:szCs w:val="16"/>
              </w:rPr>
            </w:pPr>
            <w:r>
              <w:rPr>
                <w:sz w:val="16"/>
                <w:szCs w:val="16"/>
              </w:rPr>
              <w:t>The study determined the following NTGR values for the IOU programs:</w:t>
            </w:r>
          </w:p>
          <w:p w:rsidR="00457448" w:rsidRDefault="00457448" w:rsidP="00457448">
            <w:pPr>
              <w:spacing w:after="0" w:line="240" w:lineRule="auto"/>
              <w:jc w:val="left"/>
              <w:rPr>
                <w:sz w:val="16"/>
                <w:szCs w:val="16"/>
              </w:rPr>
            </w:pPr>
          </w:p>
          <w:p w:rsidR="00457448" w:rsidRDefault="00457448" w:rsidP="00457448">
            <w:pPr>
              <w:tabs>
                <w:tab w:val="decimal" w:pos="876"/>
                <w:tab w:val="decimal" w:pos="1331"/>
                <w:tab w:val="decimal" w:pos="1866"/>
              </w:tabs>
              <w:spacing w:after="0" w:line="240" w:lineRule="auto"/>
              <w:jc w:val="left"/>
              <w:rPr>
                <w:sz w:val="16"/>
                <w:szCs w:val="16"/>
              </w:rPr>
            </w:pPr>
            <w:r>
              <w:rPr>
                <w:b/>
                <w:sz w:val="16"/>
                <w:szCs w:val="16"/>
              </w:rPr>
              <w:tab/>
            </w:r>
            <w:r>
              <w:rPr>
                <w:sz w:val="16"/>
                <w:szCs w:val="16"/>
              </w:rPr>
              <w:t>kWh</w:t>
            </w:r>
            <w:r>
              <w:rPr>
                <w:sz w:val="16"/>
                <w:szCs w:val="16"/>
              </w:rPr>
              <w:tab/>
              <w:t>kW</w:t>
            </w:r>
            <w:r>
              <w:rPr>
                <w:sz w:val="16"/>
                <w:szCs w:val="16"/>
              </w:rPr>
              <w:tab/>
              <w:t xml:space="preserve">  Therms</w:t>
            </w:r>
          </w:p>
          <w:p w:rsidR="00457448" w:rsidRDefault="00457448" w:rsidP="00457448">
            <w:pPr>
              <w:tabs>
                <w:tab w:val="decimal" w:pos="687"/>
                <w:tab w:val="decimal" w:pos="1151"/>
                <w:tab w:val="decimal" w:pos="1593"/>
              </w:tabs>
              <w:spacing w:after="0" w:line="240" w:lineRule="auto"/>
              <w:jc w:val="left"/>
              <w:rPr>
                <w:sz w:val="16"/>
                <w:szCs w:val="16"/>
              </w:rPr>
            </w:pPr>
            <w:r>
              <w:rPr>
                <w:sz w:val="16"/>
                <w:szCs w:val="16"/>
              </w:rPr>
              <w:t>PG&amp;E</w:t>
            </w:r>
            <w:r>
              <w:rPr>
                <w:sz w:val="16"/>
                <w:szCs w:val="16"/>
              </w:rPr>
              <w:tab/>
              <w:t>0.25</w:t>
            </w:r>
            <w:r>
              <w:rPr>
                <w:sz w:val="16"/>
                <w:szCs w:val="16"/>
              </w:rPr>
              <w:tab/>
              <w:t>0.28</w:t>
            </w:r>
            <w:r>
              <w:rPr>
                <w:sz w:val="16"/>
                <w:szCs w:val="16"/>
              </w:rPr>
              <w:tab/>
              <w:t>0.26</w:t>
            </w:r>
          </w:p>
          <w:p w:rsidR="00457448" w:rsidRDefault="00457448" w:rsidP="00457448">
            <w:pPr>
              <w:tabs>
                <w:tab w:val="decimal" w:pos="687"/>
                <w:tab w:val="decimal" w:pos="1151"/>
                <w:tab w:val="decimal" w:pos="1593"/>
              </w:tabs>
              <w:spacing w:after="0" w:line="240" w:lineRule="auto"/>
              <w:jc w:val="left"/>
              <w:rPr>
                <w:sz w:val="16"/>
                <w:szCs w:val="16"/>
              </w:rPr>
            </w:pPr>
            <w:r>
              <w:rPr>
                <w:sz w:val="16"/>
                <w:szCs w:val="16"/>
              </w:rPr>
              <w:t>SCG</w:t>
            </w:r>
            <w:r>
              <w:rPr>
                <w:sz w:val="16"/>
                <w:szCs w:val="16"/>
              </w:rPr>
              <w:tab/>
              <w:t>0.30</w:t>
            </w:r>
            <w:r>
              <w:rPr>
                <w:sz w:val="16"/>
                <w:szCs w:val="16"/>
              </w:rPr>
              <w:tab/>
              <w:t>0.30</w:t>
            </w:r>
            <w:r>
              <w:rPr>
                <w:sz w:val="16"/>
                <w:szCs w:val="16"/>
              </w:rPr>
              <w:tab/>
              <w:t>0.30</w:t>
            </w:r>
          </w:p>
          <w:p w:rsidR="00457448" w:rsidRDefault="00457448" w:rsidP="00457448">
            <w:pPr>
              <w:tabs>
                <w:tab w:val="decimal" w:pos="687"/>
                <w:tab w:val="decimal" w:pos="1151"/>
                <w:tab w:val="decimal" w:pos="1593"/>
              </w:tabs>
              <w:spacing w:after="0" w:line="240" w:lineRule="auto"/>
              <w:jc w:val="left"/>
              <w:rPr>
                <w:sz w:val="16"/>
                <w:szCs w:val="16"/>
              </w:rPr>
            </w:pPr>
            <w:r>
              <w:rPr>
                <w:sz w:val="16"/>
                <w:szCs w:val="16"/>
              </w:rPr>
              <w:t>SDG</w:t>
            </w:r>
            <w:r w:rsidR="00D6621E">
              <w:rPr>
                <w:sz w:val="16"/>
                <w:szCs w:val="16"/>
              </w:rPr>
              <w:t>&amp;</w:t>
            </w:r>
            <w:r>
              <w:rPr>
                <w:sz w:val="16"/>
                <w:szCs w:val="16"/>
              </w:rPr>
              <w:t>E</w:t>
            </w:r>
            <w:r>
              <w:rPr>
                <w:sz w:val="16"/>
                <w:szCs w:val="16"/>
              </w:rPr>
              <w:tab/>
              <w:t>0.25</w:t>
            </w:r>
            <w:r>
              <w:rPr>
                <w:sz w:val="16"/>
                <w:szCs w:val="16"/>
              </w:rPr>
              <w:tab/>
              <w:t>0.26</w:t>
            </w:r>
            <w:r>
              <w:rPr>
                <w:sz w:val="16"/>
                <w:szCs w:val="16"/>
              </w:rPr>
              <w:tab/>
              <w:t>0.25</w:t>
            </w:r>
          </w:p>
          <w:p w:rsidR="00A64AA5" w:rsidRPr="002F22D5" w:rsidRDefault="00A64AA5" w:rsidP="00327B72">
            <w:pPr>
              <w:tabs>
                <w:tab w:val="left" w:pos="1875"/>
                <w:tab w:val="decimal" w:pos="2501"/>
              </w:tabs>
              <w:spacing w:after="0" w:line="240" w:lineRule="auto"/>
              <w:jc w:val="left"/>
              <w:rPr>
                <w:sz w:val="16"/>
                <w:szCs w:val="16"/>
              </w:rPr>
            </w:pPr>
          </w:p>
        </w:tc>
        <w:tc>
          <w:tcPr>
            <w:tcW w:w="888" w:type="pct"/>
            <w:vAlign w:val="center"/>
          </w:tcPr>
          <w:p w:rsidR="00457448" w:rsidRPr="00C65F4C" w:rsidRDefault="00457448" w:rsidP="00457448">
            <w:pPr>
              <w:pStyle w:val="Default"/>
              <w:rPr>
                <w:color w:val="auto"/>
                <w:sz w:val="16"/>
                <w:szCs w:val="16"/>
              </w:rPr>
            </w:pPr>
            <w:r w:rsidRPr="00C65F4C">
              <w:rPr>
                <w:color w:val="auto"/>
                <w:sz w:val="16"/>
                <w:szCs w:val="16"/>
              </w:rPr>
              <w:t xml:space="preserve">The evaluation used the Joint Simple SR NTG Method. </w:t>
            </w:r>
            <w:r w:rsidR="00F547FA">
              <w:rPr>
                <w:color w:val="auto"/>
                <w:sz w:val="16"/>
                <w:szCs w:val="16"/>
              </w:rPr>
              <w:t xml:space="preserve"> The s</w:t>
            </w:r>
            <w:r w:rsidR="00F547FA" w:rsidRPr="00492E48">
              <w:rPr>
                <w:sz w:val="16"/>
                <w:szCs w:val="16"/>
              </w:rPr>
              <w:t>tudy provide</w:t>
            </w:r>
            <w:r w:rsidR="00F547FA">
              <w:rPr>
                <w:sz w:val="16"/>
                <w:szCs w:val="16"/>
              </w:rPr>
              <w:t>s</w:t>
            </w:r>
            <w:r w:rsidR="00F547FA" w:rsidRPr="00492E48">
              <w:rPr>
                <w:sz w:val="16"/>
                <w:szCs w:val="16"/>
              </w:rPr>
              <w:t xml:space="preserve"> </w:t>
            </w:r>
            <w:r w:rsidR="00F547FA">
              <w:rPr>
                <w:sz w:val="16"/>
                <w:szCs w:val="16"/>
              </w:rPr>
              <w:t xml:space="preserve">little </w:t>
            </w:r>
            <w:r w:rsidR="00F547FA" w:rsidRPr="00492E48">
              <w:rPr>
                <w:sz w:val="16"/>
                <w:szCs w:val="16"/>
              </w:rPr>
              <w:t>discussion about the</w:t>
            </w:r>
            <w:r w:rsidR="00F547FA">
              <w:rPr>
                <w:sz w:val="16"/>
                <w:szCs w:val="16"/>
              </w:rPr>
              <w:t>se</w:t>
            </w:r>
            <w:r w:rsidR="00F547FA" w:rsidRPr="00492E48">
              <w:rPr>
                <w:sz w:val="16"/>
                <w:szCs w:val="16"/>
              </w:rPr>
              <w:t xml:space="preserve"> NTGR results.  </w:t>
            </w:r>
          </w:p>
          <w:p w:rsidR="00A64AA5" w:rsidRPr="00F5763D" w:rsidRDefault="00A64AA5" w:rsidP="00327B72">
            <w:pPr>
              <w:spacing w:after="0" w:line="240" w:lineRule="auto"/>
              <w:ind w:firstLine="160"/>
              <w:jc w:val="left"/>
              <w:rPr>
                <w:sz w:val="16"/>
                <w:szCs w:val="16"/>
              </w:rPr>
            </w:pPr>
          </w:p>
        </w:tc>
        <w:tc>
          <w:tcPr>
            <w:tcW w:w="997" w:type="pct"/>
            <w:tcBorders>
              <w:right w:val="single" w:sz="12" w:space="0" w:color="000000"/>
            </w:tcBorders>
          </w:tcPr>
          <w:p w:rsidR="00A64AA5" w:rsidRDefault="00044EED" w:rsidP="00F547FA">
            <w:pPr>
              <w:spacing w:after="0" w:line="240" w:lineRule="auto"/>
              <w:ind w:firstLine="158"/>
              <w:jc w:val="left"/>
              <w:rPr>
                <w:sz w:val="16"/>
                <w:szCs w:val="16"/>
              </w:rPr>
            </w:pPr>
            <w:r>
              <w:rPr>
                <w:sz w:val="16"/>
                <w:szCs w:val="16"/>
              </w:rPr>
              <w:t>The study’s approach to determining the effective level of insulation levels was reasonable and the NTGR values all cluster about the same value.  This measure has been off</w:t>
            </w:r>
            <w:r w:rsidR="00F669D5">
              <w:rPr>
                <w:sz w:val="16"/>
                <w:szCs w:val="16"/>
              </w:rPr>
              <w:t>ered for well over 30 years</w:t>
            </w:r>
            <w:r>
              <w:rPr>
                <w:sz w:val="16"/>
                <w:szCs w:val="16"/>
              </w:rPr>
              <w:t>.</w:t>
            </w:r>
            <w:r w:rsidR="00F669D5">
              <w:rPr>
                <w:sz w:val="16"/>
                <w:szCs w:val="16"/>
              </w:rPr>
              <w:t xml:space="preserve">  The measure may eventually be offered only as p</w:t>
            </w:r>
            <w:r w:rsidR="001358C6">
              <w:rPr>
                <w:sz w:val="16"/>
                <w:szCs w:val="16"/>
              </w:rPr>
              <w:t>art of the Whole House retrofit</w:t>
            </w:r>
            <w:r w:rsidR="00F669D5">
              <w:rPr>
                <w:sz w:val="16"/>
                <w:szCs w:val="16"/>
              </w:rPr>
              <w:t xml:space="preserve"> bundles in the future and cease as a standalone measure.</w:t>
            </w:r>
          </w:p>
          <w:p w:rsidR="00044EED" w:rsidRPr="00044EED" w:rsidRDefault="00044EED" w:rsidP="00F547FA">
            <w:pPr>
              <w:spacing w:after="0" w:line="240" w:lineRule="auto"/>
              <w:ind w:firstLine="158"/>
              <w:jc w:val="left"/>
              <w:rPr>
                <w:sz w:val="16"/>
                <w:szCs w:val="16"/>
              </w:rPr>
            </w:pPr>
          </w:p>
          <w:p w:rsidR="0044191D" w:rsidRDefault="0044191D" w:rsidP="00F547FA">
            <w:pPr>
              <w:spacing w:after="0" w:line="240" w:lineRule="auto"/>
              <w:ind w:firstLine="158"/>
              <w:jc w:val="left"/>
              <w:rPr>
                <w:b/>
                <w:sz w:val="16"/>
                <w:szCs w:val="16"/>
              </w:rPr>
            </w:pPr>
            <w:r>
              <w:rPr>
                <w:b/>
                <w:sz w:val="16"/>
                <w:szCs w:val="16"/>
              </w:rPr>
              <w:t>Recommend a program level weighted average of 0.28</w:t>
            </w:r>
            <w:r w:rsidR="006D3ECA">
              <w:rPr>
                <w:b/>
                <w:sz w:val="16"/>
                <w:szCs w:val="16"/>
              </w:rPr>
              <w:t xml:space="preserve"> for downstream delivery.</w:t>
            </w:r>
          </w:p>
          <w:p w:rsidR="00044EED" w:rsidRPr="0044191D" w:rsidRDefault="00044EED" w:rsidP="00F547FA">
            <w:pPr>
              <w:spacing w:after="0" w:line="240" w:lineRule="auto"/>
              <w:ind w:firstLine="158"/>
              <w:jc w:val="left"/>
              <w:rPr>
                <w:b/>
                <w:sz w:val="16"/>
                <w:szCs w:val="16"/>
              </w:rPr>
            </w:pPr>
          </w:p>
        </w:tc>
      </w:tr>
      <w:tr w:rsidR="00A64AA5" w:rsidRPr="00410CDB" w:rsidTr="00D5435A">
        <w:trPr>
          <w:trHeight w:val="322"/>
        </w:trPr>
        <w:tc>
          <w:tcPr>
            <w:tcW w:w="519" w:type="pct"/>
            <w:tcBorders>
              <w:left w:val="single" w:sz="12" w:space="0" w:color="000000"/>
              <w:bottom w:val="single" w:sz="12" w:space="0" w:color="000000"/>
            </w:tcBorders>
            <w:vAlign w:val="center"/>
          </w:tcPr>
          <w:p w:rsidR="00A64AA5" w:rsidRPr="00A64AA5" w:rsidRDefault="00A64AA5" w:rsidP="00A64AA5">
            <w:pPr>
              <w:spacing w:after="0" w:line="240" w:lineRule="auto"/>
              <w:jc w:val="left"/>
              <w:rPr>
                <w:sz w:val="16"/>
                <w:szCs w:val="16"/>
              </w:rPr>
            </w:pPr>
            <w:r w:rsidRPr="00A64AA5">
              <w:rPr>
                <w:sz w:val="16"/>
                <w:szCs w:val="16"/>
              </w:rPr>
              <w:t>Air Cooled Packaged and Split System Air Conditioners and Heat Pumps</w:t>
            </w:r>
          </w:p>
        </w:tc>
        <w:tc>
          <w:tcPr>
            <w:tcW w:w="479" w:type="pct"/>
            <w:tcBorders>
              <w:bottom w:val="single" w:sz="12" w:space="0" w:color="000000"/>
            </w:tcBorders>
            <w:vAlign w:val="center"/>
          </w:tcPr>
          <w:p w:rsidR="00A64AA5" w:rsidRDefault="006F18C5" w:rsidP="006F18C5">
            <w:pPr>
              <w:spacing w:after="0" w:line="240" w:lineRule="auto"/>
              <w:jc w:val="left"/>
              <w:rPr>
                <w:sz w:val="16"/>
                <w:szCs w:val="16"/>
              </w:rPr>
            </w:pPr>
            <w:r>
              <w:rPr>
                <w:sz w:val="16"/>
                <w:szCs w:val="16"/>
              </w:rPr>
              <w:t>0.67, SEER≥14 0.80, SEER≥15</w:t>
            </w:r>
          </w:p>
          <w:p w:rsidR="009659CA" w:rsidRDefault="009659CA" w:rsidP="006F18C5">
            <w:pPr>
              <w:spacing w:after="0" w:line="240" w:lineRule="auto"/>
              <w:jc w:val="left"/>
              <w:rPr>
                <w:sz w:val="16"/>
                <w:szCs w:val="16"/>
              </w:rPr>
            </w:pPr>
            <w:r>
              <w:rPr>
                <w:sz w:val="16"/>
                <w:szCs w:val="16"/>
              </w:rPr>
              <w:t>for AC units</w:t>
            </w:r>
          </w:p>
          <w:p w:rsidR="009659CA" w:rsidRDefault="009659CA" w:rsidP="006F18C5">
            <w:pPr>
              <w:spacing w:after="0" w:line="240" w:lineRule="auto"/>
              <w:jc w:val="left"/>
              <w:rPr>
                <w:sz w:val="16"/>
                <w:szCs w:val="16"/>
              </w:rPr>
            </w:pPr>
          </w:p>
          <w:p w:rsidR="009659CA" w:rsidRDefault="009659CA" w:rsidP="006F18C5">
            <w:pPr>
              <w:spacing w:after="0" w:line="240" w:lineRule="auto"/>
              <w:jc w:val="left"/>
              <w:rPr>
                <w:sz w:val="16"/>
                <w:szCs w:val="16"/>
              </w:rPr>
            </w:pPr>
            <w:r>
              <w:rPr>
                <w:sz w:val="16"/>
                <w:szCs w:val="16"/>
              </w:rPr>
              <w:t>0.55 for Heat Pumps</w:t>
            </w:r>
          </w:p>
        </w:tc>
        <w:tc>
          <w:tcPr>
            <w:tcW w:w="444" w:type="pct"/>
            <w:tcBorders>
              <w:bottom w:val="single" w:sz="12" w:space="0" w:color="000000"/>
            </w:tcBorders>
            <w:vAlign w:val="center"/>
          </w:tcPr>
          <w:p w:rsidR="00A64AA5" w:rsidRDefault="006F18C5" w:rsidP="00F23F44">
            <w:pPr>
              <w:spacing w:after="0" w:line="240" w:lineRule="auto"/>
              <w:jc w:val="left"/>
              <w:rPr>
                <w:sz w:val="16"/>
                <w:szCs w:val="16"/>
              </w:rPr>
            </w:pPr>
            <w:r>
              <w:rPr>
                <w:sz w:val="16"/>
                <w:szCs w:val="16"/>
              </w:rPr>
              <w:t>Downstream Prescriptive</w:t>
            </w:r>
          </w:p>
        </w:tc>
        <w:tc>
          <w:tcPr>
            <w:tcW w:w="785" w:type="pct"/>
            <w:tcBorders>
              <w:bottom w:val="single" w:sz="12" w:space="0" w:color="000000"/>
            </w:tcBorders>
            <w:vAlign w:val="center"/>
          </w:tcPr>
          <w:p w:rsidR="00A64AA5" w:rsidRPr="002F22D5" w:rsidRDefault="00497D77" w:rsidP="00F23F44">
            <w:pPr>
              <w:spacing w:after="0" w:line="240" w:lineRule="auto"/>
              <w:jc w:val="left"/>
              <w:rPr>
                <w:sz w:val="16"/>
                <w:szCs w:val="16"/>
              </w:rPr>
            </w:pPr>
            <w:r w:rsidRPr="00E03396">
              <w:rPr>
                <w:sz w:val="16"/>
                <w:szCs w:val="16"/>
              </w:rPr>
              <w:t>Evaluation Measurement and Verification of the California Public Utilities Commission HVAC High Impact Measures and Specialized Commercial Contract Group Programs, 2006 – 2008 Program Year, Final Consultant Report, Vol</w:t>
            </w:r>
            <w:r>
              <w:rPr>
                <w:sz w:val="16"/>
                <w:szCs w:val="16"/>
              </w:rPr>
              <w:t>umes 1 and 2, KEMA, February 2010 [Ch. 6]</w:t>
            </w:r>
          </w:p>
        </w:tc>
        <w:tc>
          <w:tcPr>
            <w:tcW w:w="888" w:type="pct"/>
            <w:tcBorders>
              <w:bottom w:val="single" w:sz="12" w:space="0" w:color="000000"/>
            </w:tcBorders>
            <w:vAlign w:val="center"/>
          </w:tcPr>
          <w:p w:rsidR="00497D77" w:rsidRDefault="00497D77" w:rsidP="00497D77">
            <w:pPr>
              <w:tabs>
                <w:tab w:val="center" w:pos="1238"/>
              </w:tabs>
              <w:spacing w:after="0" w:line="240" w:lineRule="auto"/>
              <w:jc w:val="left"/>
              <w:rPr>
                <w:sz w:val="16"/>
                <w:szCs w:val="16"/>
              </w:rPr>
            </w:pPr>
            <w:r>
              <w:rPr>
                <w:sz w:val="16"/>
                <w:szCs w:val="16"/>
              </w:rPr>
              <w:t>Telephone and onsite</w:t>
            </w:r>
            <w:r w:rsidRPr="0057553B">
              <w:rPr>
                <w:sz w:val="16"/>
                <w:szCs w:val="16"/>
              </w:rPr>
              <w:t xml:space="preserve"> surveys </w:t>
            </w:r>
            <w:r>
              <w:rPr>
                <w:sz w:val="16"/>
                <w:szCs w:val="16"/>
              </w:rPr>
              <w:t xml:space="preserve">were </w:t>
            </w:r>
            <w:r w:rsidRPr="0057553B">
              <w:rPr>
                <w:sz w:val="16"/>
                <w:szCs w:val="16"/>
              </w:rPr>
              <w:t>used to</w:t>
            </w:r>
            <w:r>
              <w:rPr>
                <w:sz w:val="16"/>
                <w:szCs w:val="16"/>
              </w:rPr>
              <w:t xml:space="preserve"> estimate the following NTGRs by IOU:</w:t>
            </w:r>
          </w:p>
          <w:p w:rsidR="00497D77" w:rsidRDefault="00497D77" w:rsidP="00497D77">
            <w:pPr>
              <w:tabs>
                <w:tab w:val="center" w:pos="1238"/>
              </w:tabs>
              <w:spacing w:after="0" w:line="240" w:lineRule="auto"/>
              <w:jc w:val="left"/>
              <w:rPr>
                <w:sz w:val="16"/>
                <w:szCs w:val="16"/>
              </w:rPr>
            </w:pPr>
          </w:p>
          <w:p w:rsidR="00497D77" w:rsidRDefault="0044191D" w:rsidP="0044191D">
            <w:pPr>
              <w:tabs>
                <w:tab w:val="left" w:pos="971"/>
                <w:tab w:val="left" w:pos="1601"/>
              </w:tabs>
              <w:spacing w:after="0" w:line="240" w:lineRule="auto"/>
              <w:jc w:val="left"/>
              <w:rPr>
                <w:sz w:val="16"/>
                <w:szCs w:val="16"/>
              </w:rPr>
            </w:pPr>
            <w:r>
              <w:rPr>
                <w:sz w:val="16"/>
                <w:szCs w:val="16"/>
              </w:rPr>
              <w:tab/>
              <w:t>kWh</w:t>
            </w:r>
            <w:r>
              <w:rPr>
                <w:sz w:val="16"/>
                <w:szCs w:val="16"/>
              </w:rPr>
              <w:tab/>
              <w:t>kW</w:t>
            </w:r>
          </w:p>
          <w:p w:rsidR="00497D77" w:rsidRDefault="00497D77" w:rsidP="0044191D">
            <w:pPr>
              <w:tabs>
                <w:tab w:val="decimal" w:pos="1061"/>
                <w:tab w:val="decimal" w:pos="1691"/>
              </w:tabs>
              <w:spacing w:after="0" w:line="240" w:lineRule="auto"/>
              <w:jc w:val="left"/>
              <w:rPr>
                <w:sz w:val="16"/>
                <w:szCs w:val="16"/>
              </w:rPr>
            </w:pPr>
            <w:r>
              <w:rPr>
                <w:sz w:val="16"/>
                <w:szCs w:val="16"/>
              </w:rPr>
              <w:t xml:space="preserve">SCE2507   </w:t>
            </w:r>
            <w:r>
              <w:rPr>
                <w:sz w:val="16"/>
                <w:szCs w:val="16"/>
              </w:rPr>
              <w:tab/>
              <w:t>0.56</w:t>
            </w:r>
            <w:r w:rsidR="0044191D">
              <w:rPr>
                <w:sz w:val="16"/>
                <w:szCs w:val="16"/>
              </w:rPr>
              <w:tab/>
              <w:t>0.56</w:t>
            </w:r>
          </w:p>
          <w:p w:rsidR="00497D77" w:rsidRDefault="00497D77" w:rsidP="0044191D">
            <w:pPr>
              <w:tabs>
                <w:tab w:val="decimal" w:pos="1061"/>
                <w:tab w:val="decimal" w:pos="1691"/>
              </w:tabs>
              <w:spacing w:after="0" w:line="240" w:lineRule="auto"/>
              <w:jc w:val="left"/>
              <w:rPr>
                <w:sz w:val="16"/>
                <w:szCs w:val="16"/>
              </w:rPr>
            </w:pPr>
            <w:r>
              <w:rPr>
                <w:sz w:val="16"/>
                <w:szCs w:val="16"/>
              </w:rPr>
              <w:t>SDGE3029</w:t>
            </w:r>
            <w:r>
              <w:rPr>
                <w:sz w:val="16"/>
                <w:szCs w:val="16"/>
              </w:rPr>
              <w:tab/>
              <w:t>0.53</w:t>
            </w:r>
            <w:r w:rsidR="0044191D">
              <w:rPr>
                <w:sz w:val="16"/>
                <w:szCs w:val="16"/>
              </w:rPr>
              <w:tab/>
              <w:t>0.54</w:t>
            </w:r>
          </w:p>
          <w:p w:rsidR="00A64AA5" w:rsidRPr="002F22D5" w:rsidRDefault="00A64AA5" w:rsidP="00497D77">
            <w:pPr>
              <w:tabs>
                <w:tab w:val="left" w:pos="1875"/>
                <w:tab w:val="decimal" w:pos="2501"/>
              </w:tabs>
              <w:spacing w:after="0" w:line="240" w:lineRule="auto"/>
              <w:jc w:val="left"/>
              <w:rPr>
                <w:sz w:val="16"/>
                <w:szCs w:val="16"/>
              </w:rPr>
            </w:pPr>
          </w:p>
        </w:tc>
        <w:tc>
          <w:tcPr>
            <w:tcW w:w="888" w:type="pct"/>
            <w:tcBorders>
              <w:bottom w:val="single" w:sz="12" w:space="0" w:color="000000"/>
            </w:tcBorders>
            <w:vAlign w:val="center"/>
          </w:tcPr>
          <w:p w:rsidR="00A64AA5" w:rsidRPr="00F5763D" w:rsidRDefault="00457448" w:rsidP="00457448">
            <w:pPr>
              <w:spacing w:after="0" w:line="240" w:lineRule="auto"/>
              <w:ind w:firstLine="160"/>
              <w:jc w:val="left"/>
              <w:rPr>
                <w:sz w:val="16"/>
                <w:szCs w:val="16"/>
              </w:rPr>
            </w:pPr>
            <w:r>
              <w:rPr>
                <w:sz w:val="16"/>
                <w:szCs w:val="16"/>
              </w:rPr>
              <w:t xml:space="preserve">Self-Report Approach - </w:t>
            </w:r>
            <w:r w:rsidRPr="00DC3D2B">
              <w:rPr>
                <w:sz w:val="16"/>
                <w:szCs w:val="16"/>
              </w:rPr>
              <w:t>The NTG ratio was developed using a consistent method based on measure delivery channel</w:t>
            </w:r>
            <w:r>
              <w:rPr>
                <w:sz w:val="16"/>
                <w:szCs w:val="16"/>
              </w:rPr>
              <w:t xml:space="preserve"> </w:t>
            </w:r>
            <w:r w:rsidRPr="00DC3D2B">
              <w:rPr>
                <w:sz w:val="16"/>
                <w:szCs w:val="16"/>
              </w:rPr>
              <w:t>with appropriate decision maker surveys administered to a representative sample.</w:t>
            </w:r>
          </w:p>
        </w:tc>
        <w:tc>
          <w:tcPr>
            <w:tcW w:w="997" w:type="pct"/>
            <w:tcBorders>
              <w:bottom w:val="single" w:sz="12" w:space="0" w:color="000000"/>
              <w:right w:val="single" w:sz="12" w:space="0" w:color="000000"/>
            </w:tcBorders>
          </w:tcPr>
          <w:p w:rsidR="00A64AA5" w:rsidRDefault="00457448" w:rsidP="0044191D">
            <w:pPr>
              <w:spacing w:after="0" w:line="240" w:lineRule="auto"/>
              <w:ind w:firstLine="158"/>
              <w:jc w:val="left"/>
              <w:rPr>
                <w:sz w:val="16"/>
                <w:szCs w:val="16"/>
              </w:rPr>
            </w:pPr>
            <w:r w:rsidRPr="00343969">
              <w:rPr>
                <w:sz w:val="16"/>
                <w:szCs w:val="16"/>
              </w:rPr>
              <w:t>The two residential AC replacement programs, where the residential/small commercial NTG</w:t>
            </w:r>
            <w:r>
              <w:rPr>
                <w:sz w:val="16"/>
                <w:szCs w:val="16"/>
              </w:rPr>
              <w:t xml:space="preserve"> </w:t>
            </w:r>
            <w:r w:rsidRPr="00343969">
              <w:rPr>
                <w:sz w:val="16"/>
                <w:szCs w:val="16"/>
              </w:rPr>
              <w:t xml:space="preserve">battery was administered, have consistent NTG ratios of 53% </w:t>
            </w:r>
            <w:r w:rsidR="0044191D">
              <w:rPr>
                <w:sz w:val="16"/>
                <w:szCs w:val="16"/>
              </w:rPr>
              <w:t xml:space="preserve">to </w:t>
            </w:r>
            <w:r w:rsidRPr="00343969">
              <w:rPr>
                <w:sz w:val="16"/>
                <w:szCs w:val="16"/>
              </w:rPr>
              <w:t>56% which are very</w:t>
            </w:r>
            <w:r>
              <w:rPr>
                <w:sz w:val="16"/>
                <w:szCs w:val="16"/>
              </w:rPr>
              <w:t xml:space="preserve"> </w:t>
            </w:r>
            <w:r w:rsidRPr="00343969">
              <w:rPr>
                <w:sz w:val="16"/>
                <w:szCs w:val="16"/>
              </w:rPr>
              <w:t>reasonable considering the amount of “green” messaging from multiple sources during the last</w:t>
            </w:r>
            <w:r>
              <w:rPr>
                <w:sz w:val="16"/>
                <w:szCs w:val="16"/>
              </w:rPr>
              <w:t xml:space="preserve"> </w:t>
            </w:r>
            <w:r w:rsidRPr="00343969">
              <w:rPr>
                <w:sz w:val="16"/>
                <w:szCs w:val="16"/>
              </w:rPr>
              <w:t>five years and the marketing around high efficiency air conditioners.</w:t>
            </w:r>
            <w:r w:rsidR="0044191D">
              <w:rPr>
                <w:sz w:val="16"/>
                <w:szCs w:val="16"/>
              </w:rPr>
              <w:t xml:space="preserve"> The study provides no distinction by SEER level and system types.  The study did determine differences in the savings by replace-on-burnout (ROB), new construction (NC), and early retirement (ER), but did not attempt to determine separate NTGR values by delivery method.</w:t>
            </w:r>
          </w:p>
          <w:p w:rsidR="006D3ECA" w:rsidRDefault="0044191D" w:rsidP="006D3ECA">
            <w:pPr>
              <w:spacing w:after="0" w:line="240" w:lineRule="auto"/>
              <w:ind w:firstLine="158"/>
              <w:jc w:val="left"/>
              <w:rPr>
                <w:sz w:val="16"/>
                <w:szCs w:val="16"/>
              </w:rPr>
            </w:pPr>
            <w:r>
              <w:rPr>
                <w:sz w:val="16"/>
                <w:szCs w:val="16"/>
              </w:rPr>
              <w:t xml:space="preserve">Weight averaging the program level NTGR values </w:t>
            </w:r>
            <w:r w:rsidR="006D3ECA">
              <w:rPr>
                <w:sz w:val="16"/>
                <w:szCs w:val="16"/>
              </w:rPr>
              <w:t xml:space="preserve">by </w:t>
            </w:r>
            <w:r w:rsidR="002E6EEA">
              <w:rPr>
                <w:sz w:val="16"/>
                <w:szCs w:val="16"/>
              </w:rPr>
              <w:t xml:space="preserve">energy </w:t>
            </w:r>
            <w:r w:rsidR="006D3ECA">
              <w:rPr>
                <w:sz w:val="16"/>
                <w:szCs w:val="16"/>
              </w:rPr>
              <w:t>savings and demand reduction</w:t>
            </w:r>
            <w:r w:rsidR="002E6EEA">
              <w:rPr>
                <w:sz w:val="16"/>
                <w:szCs w:val="16"/>
              </w:rPr>
              <w:t xml:space="preserve"> Totals for Overall, </w:t>
            </w:r>
            <w:r w:rsidR="006D3ECA">
              <w:rPr>
                <w:sz w:val="16"/>
                <w:szCs w:val="16"/>
              </w:rPr>
              <w:t>ROB/NEW, or ER cluster about the value of 0.55.</w:t>
            </w:r>
          </w:p>
          <w:p w:rsidR="009659CA" w:rsidRDefault="009659CA" w:rsidP="006D3ECA">
            <w:pPr>
              <w:spacing w:after="0" w:line="240" w:lineRule="auto"/>
              <w:ind w:firstLine="158"/>
              <w:jc w:val="left"/>
              <w:rPr>
                <w:sz w:val="16"/>
                <w:szCs w:val="16"/>
              </w:rPr>
            </w:pPr>
          </w:p>
          <w:p w:rsidR="006D3ECA" w:rsidRDefault="006D3ECA" w:rsidP="002E6EEA">
            <w:pPr>
              <w:spacing w:after="0" w:line="240" w:lineRule="auto"/>
              <w:ind w:firstLine="158"/>
              <w:jc w:val="left"/>
              <w:rPr>
                <w:b/>
                <w:sz w:val="16"/>
                <w:szCs w:val="16"/>
              </w:rPr>
            </w:pPr>
            <w:r>
              <w:rPr>
                <w:b/>
                <w:sz w:val="16"/>
                <w:szCs w:val="16"/>
              </w:rPr>
              <w:t xml:space="preserve">Recommend the </w:t>
            </w:r>
            <w:r w:rsidR="009659CA">
              <w:rPr>
                <w:b/>
                <w:sz w:val="16"/>
                <w:szCs w:val="16"/>
              </w:rPr>
              <w:t>adoption</w:t>
            </w:r>
            <w:r>
              <w:rPr>
                <w:b/>
                <w:sz w:val="16"/>
                <w:szCs w:val="16"/>
              </w:rPr>
              <w:t xml:space="preserve"> of a state</w:t>
            </w:r>
            <w:r w:rsidR="009659CA">
              <w:rPr>
                <w:b/>
                <w:sz w:val="16"/>
                <w:szCs w:val="16"/>
              </w:rPr>
              <w:t>wide value of 0.55</w:t>
            </w:r>
            <w:r>
              <w:rPr>
                <w:b/>
                <w:sz w:val="16"/>
                <w:szCs w:val="16"/>
              </w:rPr>
              <w:t>.</w:t>
            </w:r>
          </w:p>
          <w:p w:rsidR="009659CA" w:rsidRPr="006D3ECA" w:rsidRDefault="009659CA" w:rsidP="002E6EEA">
            <w:pPr>
              <w:spacing w:after="0" w:line="240" w:lineRule="auto"/>
              <w:ind w:firstLine="158"/>
              <w:jc w:val="left"/>
              <w:rPr>
                <w:b/>
                <w:sz w:val="16"/>
                <w:szCs w:val="16"/>
              </w:rPr>
            </w:pPr>
          </w:p>
        </w:tc>
      </w:tr>
    </w:tbl>
    <w:p w:rsidR="00EE2CB8" w:rsidRDefault="00EE2CB8" w:rsidP="00B253DF">
      <w:pPr>
        <w:sectPr w:rsidR="00EE2CB8" w:rsidSect="00D5435A">
          <w:headerReference w:type="default" r:id="rId8"/>
          <w:footerReference w:type="default" r:id="rId9"/>
          <w:headerReference w:type="first" r:id="rId10"/>
          <w:footerReference w:type="first" r:id="rId11"/>
          <w:pgSz w:w="15840" w:h="12240" w:orient="landscape" w:code="1"/>
          <w:pgMar w:top="1440" w:right="1440" w:bottom="1440" w:left="1440" w:header="720" w:footer="720" w:gutter="0"/>
          <w:pgNumType w:start="1"/>
          <w:cols w:space="720"/>
          <w:titlePg/>
          <w:docGrid w:linePitch="326"/>
        </w:sectPr>
      </w:pPr>
    </w:p>
    <w:p w:rsidR="008D7823" w:rsidRPr="000073BE" w:rsidRDefault="00F915FF" w:rsidP="00F915FF">
      <w:pPr>
        <w:pStyle w:val="Caption"/>
      </w:pPr>
      <w:r>
        <w:lastRenderedPageBreak/>
        <w:t>Table A-5-</w:t>
      </w:r>
      <w:fldSimple w:instr=" SEQ Table \* ARABIC ">
        <w:r>
          <w:rPr>
            <w:noProof/>
          </w:rPr>
          <w:t>2</w:t>
        </w:r>
      </w:fldSimple>
      <w:r>
        <w:t xml:space="preserve">: </w:t>
      </w:r>
      <w:r w:rsidR="00EE2CB8" w:rsidRPr="000073BE">
        <w:t>Weight Averaged 2006 – 2008 NTGR Values for the 2011 DEER Update</w:t>
      </w:r>
    </w:p>
    <w:p w:rsidR="008740AD" w:rsidRDefault="008740AD" w:rsidP="00B253DF">
      <w:r>
        <w:object w:dxaOrig="16938"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7pt;height:137.5pt" o:ole="">
            <v:imagedata r:id="rId12" o:title=""/>
          </v:shape>
          <o:OLEObject Type="Embed" ProgID="Excel.Sheet.12" ShapeID="_x0000_i1025" DrawAspect="Content" ObjectID="_1381324009" r:id="rId13"/>
        </w:object>
      </w:r>
    </w:p>
    <w:p w:rsidR="008740AD" w:rsidRDefault="008740AD" w:rsidP="00B253DF"/>
    <w:p w:rsidR="00625811" w:rsidRDefault="00625811" w:rsidP="00B253DF">
      <w:r>
        <w:object w:dxaOrig="18272" w:dyaOrig="2735">
          <v:shape id="_x0000_i1026" type="#_x0000_t75" style="width:653pt;height:136.5pt" o:ole="">
            <v:imagedata r:id="rId14" o:title=""/>
          </v:shape>
          <o:OLEObject Type="Embed" ProgID="Excel.Sheet.12" ShapeID="_x0000_i1026" DrawAspect="Content" ObjectID="_1381324010" r:id="rId15"/>
        </w:object>
      </w:r>
    </w:p>
    <w:p w:rsidR="00625811" w:rsidRDefault="00625811" w:rsidP="00B253DF">
      <w:r>
        <w:object w:dxaOrig="9861" w:dyaOrig="3025">
          <v:shape id="_x0000_i1027" type="#_x0000_t75" style="width:493.5pt;height:151.5pt" o:ole="">
            <v:imagedata r:id="rId16" o:title=""/>
          </v:shape>
          <o:OLEObject Type="Embed" ProgID="Excel.Sheet.12" ShapeID="_x0000_i1027" DrawAspect="Content" ObjectID="_1381324011" r:id="rId17"/>
        </w:object>
      </w:r>
    </w:p>
    <w:p w:rsidR="008740AD" w:rsidRDefault="008740AD" w:rsidP="00B253DF"/>
    <w:p w:rsidR="00625811" w:rsidRDefault="00D94257" w:rsidP="00B253DF">
      <w:r>
        <w:object w:dxaOrig="23388" w:dyaOrig="2749">
          <v:shape id="_x0000_i1028" type="#_x0000_t75" style="width:653.5pt;height:137.5pt" o:ole="">
            <v:imagedata r:id="rId18" o:title=""/>
          </v:shape>
          <o:OLEObject Type="Embed" ProgID="Excel.Sheet.12" ShapeID="_x0000_i1028" DrawAspect="Content" ObjectID="_1381324012" r:id="rId19"/>
        </w:object>
      </w:r>
    </w:p>
    <w:p w:rsidR="00D94257" w:rsidRPr="00B253DF" w:rsidRDefault="00D94257" w:rsidP="00B253DF">
      <w:r>
        <w:object w:dxaOrig="16938" w:dyaOrig="8789">
          <v:shape id="_x0000_i1029" type="#_x0000_t75" style="width:648.5pt;height:439.5pt" o:ole="">
            <v:imagedata r:id="rId20" o:title=""/>
          </v:shape>
          <o:OLEObject Type="Embed" ProgID="Excel.Sheet.12" ShapeID="_x0000_i1029" DrawAspect="Content" ObjectID="_1381324013" r:id="rId21"/>
        </w:object>
      </w:r>
    </w:p>
    <w:sectPr w:rsidR="00D94257" w:rsidRPr="00B253DF" w:rsidSect="00F915FF">
      <w:headerReference w:type="default" r:id="rId22"/>
      <w:footerReference w:type="default" r:id="rId23"/>
      <w:headerReference w:type="first" r:id="rId24"/>
      <w:footerReference w:type="first" r:id="rId25"/>
      <w:pgSz w:w="15840" w:h="12240" w:orient="landscape" w:code="1"/>
      <w:pgMar w:top="1440" w:right="1440" w:bottom="1440" w:left="1440"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73BE" w:rsidRDefault="000073BE" w:rsidP="00B253DF">
      <w:pPr>
        <w:spacing w:after="0" w:line="240" w:lineRule="auto"/>
      </w:pPr>
      <w:r>
        <w:separator/>
      </w:r>
    </w:p>
  </w:endnote>
  <w:endnote w:type="continuationSeparator" w:id="0">
    <w:p w:rsidR="000073BE" w:rsidRDefault="000073BE" w:rsidP="00B253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3BE" w:rsidRPr="00F915FF" w:rsidRDefault="000073BE" w:rsidP="00F23F44">
    <w:pPr>
      <w:pStyle w:val="Footer"/>
      <w:tabs>
        <w:tab w:val="clear" w:pos="4680"/>
        <w:tab w:val="clear" w:pos="9360"/>
        <w:tab w:val="center" w:pos="6300"/>
        <w:tab w:val="right" w:pos="12960"/>
      </w:tabs>
    </w:pPr>
    <w:r w:rsidRPr="00F915FF">
      <w:t>Itron, Inc.</w:t>
    </w:r>
    <w:r w:rsidRPr="00F915FF">
      <w:tab/>
      <w:t>A-</w:t>
    </w:r>
    <w:r w:rsidR="00F915FF" w:rsidRPr="00F915FF">
      <w:t>5-</w:t>
    </w:r>
    <w:fldSimple w:instr=" PAGE   \* MERGEFORMAT ">
      <w:r w:rsidR="00F915FF">
        <w:rPr>
          <w:noProof/>
        </w:rPr>
        <w:t>5</w:t>
      </w:r>
    </w:fldSimple>
    <w:r w:rsidRPr="00F915FF">
      <w:tab/>
    </w:r>
    <w:fldSimple w:instr=" REF _Ref307581844 \h  \* MERGEFORMAT ">
      <w:r w:rsidR="00F915FF" w:rsidRPr="00F915FF">
        <w:rPr>
          <w:rFonts w:eastAsiaTheme="minorHAnsi"/>
        </w:rPr>
        <w:t>Appendix A-5</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3BE" w:rsidRPr="00F915FF" w:rsidRDefault="000073BE" w:rsidP="004812E2">
    <w:pPr>
      <w:pStyle w:val="Footer"/>
      <w:tabs>
        <w:tab w:val="clear" w:pos="4680"/>
        <w:tab w:val="clear" w:pos="9360"/>
        <w:tab w:val="center" w:pos="6300"/>
        <w:tab w:val="right" w:pos="12960"/>
      </w:tabs>
    </w:pPr>
    <w:r w:rsidRPr="00F915FF">
      <w:t>Itron, Inc.</w:t>
    </w:r>
    <w:r w:rsidRPr="00F915FF">
      <w:tab/>
      <w:t>A-</w:t>
    </w:r>
    <w:r w:rsidR="00F915FF" w:rsidRPr="00F915FF">
      <w:t>5-</w:t>
    </w:r>
    <w:fldSimple w:instr=" PAGE   \* MERGEFORMAT ">
      <w:r w:rsidR="00F915FF">
        <w:rPr>
          <w:noProof/>
        </w:rPr>
        <w:t>1</w:t>
      </w:r>
    </w:fldSimple>
    <w:r w:rsidRPr="00F915FF">
      <w:tab/>
    </w:r>
    <w:fldSimple w:instr=" REF _Ref307581844 \h  \* MERGEFORMAT ">
      <w:r w:rsidR="00F915FF" w:rsidRPr="00F915FF">
        <w:rPr>
          <w:rFonts w:eastAsiaTheme="minorHAnsi"/>
        </w:rPr>
        <w:t>Appendix A-5</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3BE" w:rsidRPr="00F915FF" w:rsidRDefault="000073BE" w:rsidP="00F23F44">
    <w:pPr>
      <w:pStyle w:val="Footer"/>
      <w:tabs>
        <w:tab w:val="clear" w:pos="4680"/>
        <w:tab w:val="clear" w:pos="9360"/>
        <w:tab w:val="center" w:pos="6300"/>
        <w:tab w:val="right" w:pos="12960"/>
      </w:tabs>
    </w:pPr>
    <w:r w:rsidRPr="00F915FF">
      <w:t>Itron, Inc.</w:t>
    </w:r>
    <w:r w:rsidRPr="00F915FF">
      <w:tab/>
    </w:r>
    <w:r w:rsidR="00F915FF">
      <w:t>A-5-</w:t>
    </w:r>
    <w:fldSimple w:instr=" PAGE   \* MERGEFORMAT ">
      <w:r w:rsidR="00F915FF">
        <w:rPr>
          <w:noProof/>
        </w:rPr>
        <w:t>8</w:t>
      </w:r>
    </w:fldSimple>
    <w:r w:rsidRPr="00F915FF">
      <w:tab/>
    </w:r>
    <w:fldSimple w:instr=" REF _Ref307581844 \h  \* MERGEFORMAT ">
      <w:r w:rsidR="00F915FF" w:rsidRPr="00F915FF">
        <w:rPr>
          <w:rFonts w:eastAsiaTheme="minorHAnsi"/>
        </w:rPr>
        <w:t>Appendix A-5</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3BE" w:rsidRPr="00F915FF" w:rsidRDefault="000073BE" w:rsidP="00F915FF">
    <w:pPr>
      <w:pStyle w:val="Footer"/>
      <w:tabs>
        <w:tab w:val="clear" w:pos="4680"/>
        <w:tab w:val="clear" w:pos="9360"/>
        <w:tab w:val="center" w:pos="6300"/>
        <w:tab w:val="right" w:pos="12960"/>
      </w:tabs>
    </w:pPr>
    <w:r w:rsidRPr="00F915FF">
      <w:t>Itron, Inc.</w:t>
    </w:r>
    <w:r w:rsidRPr="00F915FF">
      <w:tab/>
    </w:r>
    <w:r w:rsidR="00F915FF" w:rsidRPr="00F915FF">
      <w:t>A-5-</w:t>
    </w:r>
    <w:fldSimple w:instr=" PAGE   \* MERGEFORMAT ">
      <w:r w:rsidR="00F915FF">
        <w:rPr>
          <w:noProof/>
        </w:rPr>
        <w:t>6</w:t>
      </w:r>
    </w:fldSimple>
    <w:r w:rsidRPr="00F915FF">
      <w:tab/>
    </w:r>
    <w:fldSimple w:instr=" REF _Ref307581844 \h  \* MERGEFORMAT ">
      <w:r w:rsidR="00F915FF" w:rsidRPr="00F915FF">
        <w:rPr>
          <w:rFonts w:eastAsiaTheme="minorHAnsi"/>
        </w:rPr>
        <w:t>Appendix A-5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73BE" w:rsidRDefault="000073BE" w:rsidP="00B253DF">
      <w:pPr>
        <w:spacing w:after="0" w:line="240" w:lineRule="auto"/>
      </w:pPr>
      <w:r>
        <w:separator/>
      </w:r>
    </w:p>
  </w:footnote>
  <w:footnote w:type="continuationSeparator" w:id="0">
    <w:p w:rsidR="000073BE" w:rsidRDefault="000073BE" w:rsidP="00B253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3BE" w:rsidRPr="00D5435A" w:rsidRDefault="000073BE" w:rsidP="00D5435A">
    <w:pPr>
      <w:pStyle w:val="Header"/>
      <w:tabs>
        <w:tab w:val="center" w:pos="4680"/>
        <w:tab w:val="left" w:pos="5751"/>
      </w:tabs>
    </w:pPr>
    <w:r>
      <w:t>Database for Energy Efficiency Resources: 2011 Update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3BE" w:rsidRPr="00F75BC7" w:rsidRDefault="000073BE" w:rsidP="00F75BC7">
    <w:pPr>
      <w:pStyle w:val="Header"/>
      <w:tabs>
        <w:tab w:val="center" w:pos="4680"/>
        <w:tab w:val="left" w:pos="5751"/>
      </w:tabs>
    </w:pPr>
    <w:r>
      <w:t>Database for Energy Efficiency Resources: 2011 Update</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3BE" w:rsidRPr="00D5435A" w:rsidRDefault="000073BE" w:rsidP="00D5435A">
    <w:pPr>
      <w:pStyle w:val="Header"/>
      <w:tabs>
        <w:tab w:val="center" w:pos="4680"/>
        <w:tab w:val="left" w:pos="5751"/>
      </w:tabs>
    </w:pPr>
    <w:r>
      <w:t>Database for Energy Efficiency Resources: 2011 Update</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3BE" w:rsidRPr="00F75BC7" w:rsidRDefault="000073BE" w:rsidP="00F75BC7">
    <w:pPr>
      <w:pStyle w:val="Header"/>
      <w:tabs>
        <w:tab w:val="center" w:pos="4680"/>
        <w:tab w:val="left" w:pos="5751"/>
      </w:tabs>
    </w:pPr>
    <w:r>
      <w:t>Database for Energy Efficiency Resources: 2011 Update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0747692"/>
    <w:lvl w:ilvl="0">
      <w:start w:val="1"/>
      <w:numFmt w:val="bullet"/>
      <w:pStyle w:val="ListBullet2"/>
      <w:lvlText w:val="─"/>
      <w:lvlJc w:val="left"/>
      <w:pPr>
        <w:ind w:left="1800" w:hanging="360"/>
      </w:pPr>
      <w:rPr>
        <w:rFonts w:ascii="Times New Roman" w:hAnsi="Times New Roman" w:cs="Times New Roman" w:hint="default"/>
        <w:sz w:val="24"/>
      </w:rPr>
    </w:lvl>
  </w:abstractNum>
  <w:abstractNum w:abstractNumId="1">
    <w:nsid w:val="FFFFFFFB"/>
    <w:multiLevelType w:val="multilevel"/>
    <w:tmpl w:val="6FA8F5E6"/>
    <w:lvl w:ilvl="0">
      <w:start w:val="8"/>
      <w:numFmt w:val="decimal"/>
      <w:pStyle w:val="Heading1"/>
      <w:suff w:val="nothing"/>
      <w:lvlText w:val="%1"/>
      <w:lvlJc w:val="left"/>
      <w:pPr>
        <w:ind w:left="0" w:firstLine="0"/>
      </w:pPr>
      <w:rPr>
        <w:rFonts w:ascii="Arial" w:hAnsi="Arial" w:hint="default"/>
        <w:b/>
        <w:i/>
        <w:sz w:val="72"/>
      </w:rPr>
    </w:lvl>
    <w:lvl w:ilvl="1">
      <w:start w:val="1"/>
      <w:numFmt w:val="decimal"/>
      <w:pStyle w:val="Heading2"/>
      <w:suff w:val="nothing"/>
      <w:lvlText w:val="%1.%2  "/>
      <w:lvlJc w:val="left"/>
      <w:pPr>
        <w:ind w:left="0" w:firstLine="0"/>
      </w:pPr>
      <w:rPr>
        <w:rFonts w:ascii="Arial" w:hAnsi="Arial" w:hint="default"/>
        <w:b/>
        <w:i w:val="0"/>
        <w:sz w:val="28"/>
      </w:rPr>
    </w:lvl>
    <w:lvl w:ilvl="2">
      <w:start w:val="1"/>
      <w:numFmt w:val="decimal"/>
      <w:pStyle w:val="Heading3"/>
      <w:suff w:val="nothing"/>
      <w:lvlText w:val="%1.%2.%3  "/>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
    <w:nsid w:val="2A5707EA"/>
    <w:multiLevelType w:val="multilevel"/>
    <w:tmpl w:val="67F0C0C4"/>
    <w:styleLink w:val="CnAListBullets"/>
    <w:lvl w:ilvl="0">
      <w:start w:val="1"/>
      <w:numFmt w:val="bullet"/>
      <w:lvlText w:val=""/>
      <w:lvlJc w:val="left"/>
      <w:pPr>
        <w:ind w:left="720" w:hanging="432"/>
      </w:pPr>
      <w:rPr>
        <w:rFonts w:ascii="Wingdings" w:hAnsi="Wingdings" w:hint="default"/>
        <w:sz w:val="16"/>
      </w:rPr>
    </w:lvl>
    <w:lvl w:ilvl="1">
      <w:start w:val="1"/>
      <w:numFmt w:val="bullet"/>
      <w:lvlText w:val="─"/>
      <w:lvlJc w:val="left"/>
      <w:pPr>
        <w:ind w:left="1152" w:hanging="432"/>
      </w:pPr>
      <w:rPr>
        <w:rFonts w:ascii="Times New Roman" w:hAnsi="Times New Roman" w:cs="Times New Roman" w:hint="default"/>
        <w:b/>
        <w:sz w:val="24"/>
      </w:rPr>
    </w:lvl>
    <w:lvl w:ilvl="2">
      <w:start w:val="1"/>
      <w:numFmt w:val="bullet"/>
      <w:lvlText w:val="-"/>
      <w:lvlJc w:val="left"/>
      <w:pPr>
        <w:ind w:left="1584" w:hanging="432"/>
      </w:pPr>
      <w:rPr>
        <w:rFonts w:ascii="Times New Roman" w:hAnsi="Times New Roman" w:cs="Times New Roman" w:hint="default"/>
        <w:sz w:val="24"/>
      </w:rPr>
    </w:lvl>
    <w:lvl w:ilvl="3">
      <w:start w:val="1"/>
      <w:numFmt w:val="bullet"/>
      <w:lvlText w:val=""/>
      <w:lvlJc w:val="left"/>
      <w:pPr>
        <w:ind w:left="2016" w:hanging="432"/>
      </w:pPr>
      <w:rPr>
        <w:rFonts w:ascii="Symbol" w:hAnsi="Symbol" w:hint="default"/>
      </w:rPr>
    </w:lvl>
    <w:lvl w:ilvl="4">
      <w:start w:val="1"/>
      <w:numFmt w:val="bullet"/>
      <w:lvlText w:val=""/>
      <w:lvlJc w:val="left"/>
      <w:pPr>
        <w:ind w:left="2448" w:hanging="432"/>
      </w:pPr>
      <w:rPr>
        <w:rFonts w:ascii="Symbol" w:hAnsi="Symbol" w:hint="default"/>
      </w:rPr>
    </w:lvl>
    <w:lvl w:ilvl="5">
      <w:start w:val="1"/>
      <w:numFmt w:val="bullet"/>
      <w:lvlText w:val=""/>
      <w:lvlJc w:val="left"/>
      <w:pPr>
        <w:ind w:left="2880" w:hanging="432"/>
      </w:pPr>
      <w:rPr>
        <w:rFonts w:ascii="Wingdings" w:hAnsi="Wingdings" w:hint="default"/>
      </w:rPr>
    </w:lvl>
    <w:lvl w:ilvl="6">
      <w:start w:val="1"/>
      <w:numFmt w:val="bullet"/>
      <w:lvlText w:val=""/>
      <w:lvlJc w:val="left"/>
      <w:pPr>
        <w:ind w:left="3312" w:hanging="432"/>
      </w:pPr>
      <w:rPr>
        <w:rFonts w:ascii="Wingdings" w:hAnsi="Wingdings" w:hint="default"/>
      </w:rPr>
    </w:lvl>
    <w:lvl w:ilvl="7">
      <w:start w:val="1"/>
      <w:numFmt w:val="bullet"/>
      <w:lvlText w:val=""/>
      <w:lvlJc w:val="left"/>
      <w:pPr>
        <w:ind w:left="3744" w:hanging="432"/>
      </w:pPr>
      <w:rPr>
        <w:rFonts w:ascii="Symbol" w:hAnsi="Symbol" w:hint="default"/>
      </w:rPr>
    </w:lvl>
    <w:lvl w:ilvl="8">
      <w:start w:val="1"/>
      <w:numFmt w:val="bullet"/>
      <w:lvlText w:val=""/>
      <w:lvlJc w:val="left"/>
      <w:pPr>
        <w:ind w:left="4176" w:hanging="432"/>
      </w:pPr>
      <w:rPr>
        <w:rFonts w:ascii="Symbol" w:hAnsi="Symbol" w:hint="default"/>
      </w:rPr>
    </w:lvl>
  </w:abstractNum>
  <w:abstractNum w:abstractNumId="3">
    <w:nsid w:val="6ABC0982"/>
    <w:multiLevelType w:val="multilevel"/>
    <w:tmpl w:val="04090021"/>
    <w:styleLink w:val="Itron"/>
    <w:lvl w:ilvl="0">
      <w:start w:val="1"/>
      <w:numFmt w:val="bullet"/>
      <w:lvlText w:val=""/>
      <w:lvlJc w:val="left"/>
      <w:pPr>
        <w:ind w:left="1080" w:hanging="360"/>
      </w:pPr>
      <w:rPr>
        <w:rFonts w:ascii="Wingdings" w:hAnsi="Wingdings"/>
      </w:rPr>
    </w:lvl>
    <w:lvl w:ilvl="1">
      <w:start w:val="1"/>
      <w:numFmt w:val="bullet"/>
      <w:lvlText w:val="─"/>
      <w:lvlJc w:val="left"/>
      <w:pPr>
        <w:ind w:left="1800" w:hanging="360"/>
      </w:pPr>
      <w:rPr>
        <w:rFonts w:ascii="Times New Roman" w:hAnsi="Times New Roman" w:cs="Times New Roman" w:hint="default"/>
        <w:b/>
        <w:sz w:val="24"/>
      </w:rPr>
    </w:lvl>
    <w:lvl w:ilvl="2">
      <w:start w:val="1"/>
      <w:numFmt w:val="bullet"/>
      <w:lvlText w:val="-"/>
      <w:lvlJc w:val="left"/>
      <w:pPr>
        <w:ind w:left="2520" w:hanging="360"/>
      </w:pPr>
      <w:rPr>
        <w:rFonts w:ascii="Times New Roman" w:hAnsi="Times New Roman" w:cs="Times New Roman" w:hint="default"/>
        <w:sz w:val="24"/>
      </w:rPr>
    </w:lvl>
    <w:lvl w:ilvl="3">
      <w:start w:val="1"/>
      <w:numFmt w:val="bullet"/>
      <w:lvlText w:val=""/>
      <w:lvlJc w:val="left"/>
      <w:pPr>
        <w:ind w:left="3240" w:hanging="360"/>
      </w:pPr>
      <w:rPr>
        <w:rFonts w:ascii="Symbol" w:hAnsi="Symbol" w:hint="default"/>
      </w:rPr>
    </w:lvl>
    <w:lvl w:ilvl="4">
      <w:start w:val="1"/>
      <w:numFmt w:val="bullet"/>
      <w:lvlText w:val=""/>
      <w:lvlJc w:val="left"/>
      <w:pPr>
        <w:ind w:left="3960" w:hanging="360"/>
      </w:pPr>
      <w:rPr>
        <w:rFonts w:ascii="Symbol" w:hAnsi="Symbol"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Wingdings" w:hAnsi="Wingdings"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360"/>
      </w:pPr>
      <w:rPr>
        <w:rFonts w:ascii="Symbol" w:hAnsi="Symbol" w:hint="default"/>
      </w:rPr>
    </w:lvl>
  </w:abstractNum>
  <w:num w:numId="1">
    <w:abstractNumId w:val="3"/>
  </w:num>
  <w:num w:numId="2">
    <w:abstractNumId w:val="2"/>
  </w:num>
  <w:num w:numId="3">
    <w:abstractNumId w:val="0"/>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stylePaneFormatFilter w:val="3F01"/>
  <w:stylePaneSortMethod w:val="0004"/>
  <w:defaultTabStop w:val="720"/>
  <w:doNotHyphenateCaps/>
  <w:drawingGridHorizontalSpacing w:val="120"/>
  <w:drawingGridVerticalSpacing w:val="163"/>
  <w:displayHorizontalDrawingGridEvery w:val="0"/>
  <w:displayVerticalDrawingGridEvery w:val="2"/>
  <w:doNotShadeFormData/>
  <w:noPunctuationKerning/>
  <w:characterSpacingControl w:val="doNotCompress"/>
  <w:hdrShapeDefaults>
    <o:shapedefaults v:ext="edit" spidmax="88065"/>
  </w:hdrShapeDefaults>
  <w:footnotePr>
    <w:footnote w:id="-1"/>
    <w:footnote w:id="0"/>
  </w:footnotePr>
  <w:endnotePr>
    <w:endnote w:id="-1"/>
    <w:endnote w:id="0"/>
  </w:endnotePr>
  <w:compat/>
  <w:rsids>
    <w:rsidRoot w:val="00B253DF"/>
    <w:rsid w:val="00000947"/>
    <w:rsid w:val="00001550"/>
    <w:rsid w:val="000073BE"/>
    <w:rsid w:val="00017AC8"/>
    <w:rsid w:val="00017D18"/>
    <w:rsid w:val="00021506"/>
    <w:rsid w:val="00022F17"/>
    <w:rsid w:val="00023643"/>
    <w:rsid w:val="00026357"/>
    <w:rsid w:val="00026536"/>
    <w:rsid w:val="00026BEC"/>
    <w:rsid w:val="00031931"/>
    <w:rsid w:val="00034A30"/>
    <w:rsid w:val="00035F45"/>
    <w:rsid w:val="00044EED"/>
    <w:rsid w:val="00045AE1"/>
    <w:rsid w:val="00054237"/>
    <w:rsid w:val="00061DA5"/>
    <w:rsid w:val="0007218F"/>
    <w:rsid w:val="0007312F"/>
    <w:rsid w:val="00075645"/>
    <w:rsid w:val="00077287"/>
    <w:rsid w:val="00077F88"/>
    <w:rsid w:val="00081032"/>
    <w:rsid w:val="0008429C"/>
    <w:rsid w:val="00087442"/>
    <w:rsid w:val="0009375D"/>
    <w:rsid w:val="00094F25"/>
    <w:rsid w:val="00096103"/>
    <w:rsid w:val="00096A50"/>
    <w:rsid w:val="00096CAD"/>
    <w:rsid w:val="00097FE2"/>
    <w:rsid w:val="000A7F67"/>
    <w:rsid w:val="000B0BC8"/>
    <w:rsid w:val="000B1D6F"/>
    <w:rsid w:val="000B2326"/>
    <w:rsid w:val="000B2BEB"/>
    <w:rsid w:val="000B731D"/>
    <w:rsid w:val="000C6631"/>
    <w:rsid w:val="000D5418"/>
    <w:rsid w:val="000D688E"/>
    <w:rsid w:val="000E2647"/>
    <w:rsid w:val="000E539F"/>
    <w:rsid w:val="000E6E55"/>
    <w:rsid w:val="000F7134"/>
    <w:rsid w:val="000F74BB"/>
    <w:rsid w:val="001048C3"/>
    <w:rsid w:val="0011319A"/>
    <w:rsid w:val="001163BE"/>
    <w:rsid w:val="00121653"/>
    <w:rsid w:val="00122668"/>
    <w:rsid w:val="0012284B"/>
    <w:rsid w:val="00126A9D"/>
    <w:rsid w:val="00126F63"/>
    <w:rsid w:val="001358C6"/>
    <w:rsid w:val="00143D3E"/>
    <w:rsid w:val="001461ED"/>
    <w:rsid w:val="00146F57"/>
    <w:rsid w:val="00150886"/>
    <w:rsid w:val="00157EA9"/>
    <w:rsid w:val="00166A00"/>
    <w:rsid w:val="001700C4"/>
    <w:rsid w:val="001712B1"/>
    <w:rsid w:val="0018047E"/>
    <w:rsid w:val="0018427E"/>
    <w:rsid w:val="00185299"/>
    <w:rsid w:val="00191491"/>
    <w:rsid w:val="001927DE"/>
    <w:rsid w:val="00195491"/>
    <w:rsid w:val="00197A2E"/>
    <w:rsid w:val="001A2A1B"/>
    <w:rsid w:val="001B116E"/>
    <w:rsid w:val="001B177F"/>
    <w:rsid w:val="001C005E"/>
    <w:rsid w:val="001D0AF7"/>
    <w:rsid w:val="001D291C"/>
    <w:rsid w:val="001D31E5"/>
    <w:rsid w:val="001E0716"/>
    <w:rsid w:val="001E32AE"/>
    <w:rsid w:val="001E6102"/>
    <w:rsid w:val="001E6819"/>
    <w:rsid w:val="001E7BE2"/>
    <w:rsid w:val="001F0225"/>
    <w:rsid w:val="001F28C6"/>
    <w:rsid w:val="001F5D99"/>
    <w:rsid w:val="001F60A4"/>
    <w:rsid w:val="00205160"/>
    <w:rsid w:val="0020663A"/>
    <w:rsid w:val="00206662"/>
    <w:rsid w:val="00210149"/>
    <w:rsid w:val="00213A89"/>
    <w:rsid w:val="00215495"/>
    <w:rsid w:val="00226D32"/>
    <w:rsid w:val="00230BF7"/>
    <w:rsid w:val="00231EB1"/>
    <w:rsid w:val="0023687E"/>
    <w:rsid w:val="00246847"/>
    <w:rsid w:val="00247593"/>
    <w:rsid w:val="002538F3"/>
    <w:rsid w:val="00260180"/>
    <w:rsid w:val="002634B9"/>
    <w:rsid w:val="00265C37"/>
    <w:rsid w:val="002663FA"/>
    <w:rsid w:val="00272B13"/>
    <w:rsid w:val="00274C09"/>
    <w:rsid w:val="00275841"/>
    <w:rsid w:val="00277449"/>
    <w:rsid w:val="00280F6B"/>
    <w:rsid w:val="002821E1"/>
    <w:rsid w:val="00284F24"/>
    <w:rsid w:val="00290316"/>
    <w:rsid w:val="0029106B"/>
    <w:rsid w:val="00292F27"/>
    <w:rsid w:val="002A62B3"/>
    <w:rsid w:val="002B211F"/>
    <w:rsid w:val="002B46B8"/>
    <w:rsid w:val="002B7BCD"/>
    <w:rsid w:val="002C77AA"/>
    <w:rsid w:val="002C7AFB"/>
    <w:rsid w:val="002D4FB8"/>
    <w:rsid w:val="002D566F"/>
    <w:rsid w:val="002D68CD"/>
    <w:rsid w:val="002D6993"/>
    <w:rsid w:val="002E4843"/>
    <w:rsid w:val="002E6EEA"/>
    <w:rsid w:val="002F1AA5"/>
    <w:rsid w:val="00300E00"/>
    <w:rsid w:val="00301ECA"/>
    <w:rsid w:val="00305900"/>
    <w:rsid w:val="003100FA"/>
    <w:rsid w:val="0031087B"/>
    <w:rsid w:val="003116EA"/>
    <w:rsid w:val="00312735"/>
    <w:rsid w:val="0031286E"/>
    <w:rsid w:val="00312A2B"/>
    <w:rsid w:val="00315C37"/>
    <w:rsid w:val="00317ED5"/>
    <w:rsid w:val="00320A73"/>
    <w:rsid w:val="003240BC"/>
    <w:rsid w:val="003255E0"/>
    <w:rsid w:val="00327B72"/>
    <w:rsid w:val="00346291"/>
    <w:rsid w:val="0035040D"/>
    <w:rsid w:val="00355DD4"/>
    <w:rsid w:val="003563C3"/>
    <w:rsid w:val="00362063"/>
    <w:rsid w:val="003649C0"/>
    <w:rsid w:val="00372A4B"/>
    <w:rsid w:val="00377BF6"/>
    <w:rsid w:val="0038646E"/>
    <w:rsid w:val="00394A99"/>
    <w:rsid w:val="003A3041"/>
    <w:rsid w:val="003A4EE7"/>
    <w:rsid w:val="003B06B6"/>
    <w:rsid w:val="003B15C1"/>
    <w:rsid w:val="003B2EC3"/>
    <w:rsid w:val="003B70AD"/>
    <w:rsid w:val="003D3FF2"/>
    <w:rsid w:val="003E1694"/>
    <w:rsid w:val="003E4A1F"/>
    <w:rsid w:val="003E6290"/>
    <w:rsid w:val="003E6375"/>
    <w:rsid w:val="003F0E58"/>
    <w:rsid w:val="003F505C"/>
    <w:rsid w:val="003F678D"/>
    <w:rsid w:val="00400DF8"/>
    <w:rsid w:val="00406F23"/>
    <w:rsid w:val="004070F0"/>
    <w:rsid w:val="00415415"/>
    <w:rsid w:val="00415F0C"/>
    <w:rsid w:val="00416B28"/>
    <w:rsid w:val="004211B7"/>
    <w:rsid w:val="00423113"/>
    <w:rsid w:val="004233DE"/>
    <w:rsid w:val="0042725F"/>
    <w:rsid w:val="00427454"/>
    <w:rsid w:val="0042761A"/>
    <w:rsid w:val="00427E5B"/>
    <w:rsid w:val="0043551E"/>
    <w:rsid w:val="00437726"/>
    <w:rsid w:val="004402C6"/>
    <w:rsid w:val="004409B2"/>
    <w:rsid w:val="00440F56"/>
    <w:rsid w:val="0044191D"/>
    <w:rsid w:val="0044409C"/>
    <w:rsid w:val="00455856"/>
    <w:rsid w:val="00457448"/>
    <w:rsid w:val="00467A6A"/>
    <w:rsid w:val="0047130C"/>
    <w:rsid w:val="00476D44"/>
    <w:rsid w:val="004812E2"/>
    <w:rsid w:val="004819BB"/>
    <w:rsid w:val="00482387"/>
    <w:rsid w:val="00483A87"/>
    <w:rsid w:val="00485477"/>
    <w:rsid w:val="00486795"/>
    <w:rsid w:val="00490D31"/>
    <w:rsid w:val="00497D77"/>
    <w:rsid w:val="004A67AC"/>
    <w:rsid w:val="004A6E70"/>
    <w:rsid w:val="004B0FCC"/>
    <w:rsid w:val="004B1173"/>
    <w:rsid w:val="004B3E4B"/>
    <w:rsid w:val="004B46F8"/>
    <w:rsid w:val="004C30D2"/>
    <w:rsid w:val="004C4005"/>
    <w:rsid w:val="004C7495"/>
    <w:rsid w:val="004D60E9"/>
    <w:rsid w:val="004E0AD6"/>
    <w:rsid w:val="004E6243"/>
    <w:rsid w:val="004F3002"/>
    <w:rsid w:val="0050194C"/>
    <w:rsid w:val="00503033"/>
    <w:rsid w:val="00510C4A"/>
    <w:rsid w:val="00516877"/>
    <w:rsid w:val="005168BB"/>
    <w:rsid w:val="00521A5F"/>
    <w:rsid w:val="00521A9C"/>
    <w:rsid w:val="00531E44"/>
    <w:rsid w:val="00535901"/>
    <w:rsid w:val="0053759B"/>
    <w:rsid w:val="005427FF"/>
    <w:rsid w:val="005518DD"/>
    <w:rsid w:val="005528D8"/>
    <w:rsid w:val="005529D5"/>
    <w:rsid w:val="00552C8F"/>
    <w:rsid w:val="005557EF"/>
    <w:rsid w:val="0055720C"/>
    <w:rsid w:val="0055783D"/>
    <w:rsid w:val="00557A79"/>
    <w:rsid w:val="00565425"/>
    <w:rsid w:val="0056560B"/>
    <w:rsid w:val="005658B0"/>
    <w:rsid w:val="00565D8A"/>
    <w:rsid w:val="00573DEC"/>
    <w:rsid w:val="00575B06"/>
    <w:rsid w:val="00577241"/>
    <w:rsid w:val="00580BAD"/>
    <w:rsid w:val="00586402"/>
    <w:rsid w:val="0059308D"/>
    <w:rsid w:val="0059377B"/>
    <w:rsid w:val="005939CC"/>
    <w:rsid w:val="005B29BE"/>
    <w:rsid w:val="005B45D6"/>
    <w:rsid w:val="005C0D2F"/>
    <w:rsid w:val="005D2C3F"/>
    <w:rsid w:val="005D3026"/>
    <w:rsid w:val="005D5666"/>
    <w:rsid w:val="005D596C"/>
    <w:rsid w:val="005D7DEE"/>
    <w:rsid w:val="005E1A6C"/>
    <w:rsid w:val="005E7998"/>
    <w:rsid w:val="005F16EB"/>
    <w:rsid w:val="005F1F9E"/>
    <w:rsid w:val="005F3293"/>
    <w:rsid w:val="005F5933"/>
    <w:rsid w:val="00600249"/>
    <w:rsid w:val="00600B96"/>
    <w:rsid w:val="00602E28"/>
    <w:rsid w:val="00603EEC"/>
    <w:rsid w:val="0060434A"/>
    <w:rsid w:val="00613044"/>
    <w:rsid w:val="006148F7"/>
    <w:rsid w:val="00614BA7"/>
    <w:rsid w:val="00620143"/>
    <w:rsid w:val="006216F9"/>
    <w:rsid w:val="006232E8"/>
    <w:rsid w:val="00625811"/>
    <w:rsid w:val="00625E61"/>
    <w:rsid w:val="0063509F"/>
    <w:rsid w:val="006350DB"/>
    <w:rsid w:val="00642B2A"/>
    <w:rsid w:val="00646C62"/>
    <w:rsid w:val="0065335E"/>
    <w:rsid w:val="00656524"/>
    <w:rsid w:val="00657787"/>
    <w:rsid w:val="00664CF0"/>
    <w:rsid w:val="0067236B"/>
    <w:rsid w:val="00682A57"/>
    <w:rsid w:val="00686D37"/>
    <w:rsid w:val="006910CD"/>
    <w:rsid w:val="0069441F"/>
    <w:rsid w:val="006979A5"/>
    <w:rsid w:val="006A22FA"/>
    <w:rsid w:val="006A29D1"/>
    <w:rsid w:val="006A35FB"/>
    <w:rsid w:val="006B70A3"/>
    <w:rsid w:val="006B7229"/>
    <w:rsid w:val="006C0097"/>
    <w:rsid w:val="006C080F"/>
    <w:rsid w:val="006C0E5E"/>
    <w:rsid w:val="006C5059"/>
    <w:rsid w:val="006C7E47"/>
    <w:rsid w:val="006D3ECA"/>
    <w:rsid w:val="006F03CE"/>
    <w:rsid w:val="006F18C5"/>
    <w:rsid w:val="006F3E85"/>
    <w:rsid w:val="00701BEA"/>
    <w:rsid w:val="007022C6"/>
    <w:rsid w:val="0070456F"/>
    <w:rsid w:val="00706638"/>
    <w:rsid w:val="007113FC"/>
    <w:rsid w:val="007137AE"/>
    <w:rsid w:val="007141BD"/>
    <w:rsid w:val="0071541C"/>
    <w:rsid w:val="0071570C"/>
    <w:rsid w:val="00715736"/>
    <w:rsid w:val="007159C8"/>
    <w:rsid w:val="00717653"/>
    <w:rsid w:val="00727737"/>
    <w:rsid w:val="007277F2"/>
    <w:rsid w:val="007316AA"/>
    <w:rsid w:val="00741807"/>
    <w:rsid w:val="0075386B"/>
    <w:rsid w:val="00754389"/>
    <w:rsid w:val="00754D32"/>
    <w:rsid w:val="00754D3E"/>
    <w:rsid w:val="00761671"/>
    <w:rsid w:val="00763661"/>
    <w:rsid w:val="007740B6"/>
    <w:rsid w:val="00775E7E"/>
    <w:rsid w:val="00775F6B"/>
    <w:rsid w:val="00777A7C"/>
    <w:rsid w:val="00780E93"/>
    <w:rsid w:val="00783EDA"/>
    <w:rsid w:val="00790A7E"/>
    <w:rsid w:val="00791652"/>
    <w:rsid w:val="007920FA"/>
    <w:rsid w:val="00792FAA"/>
    <w:rsid w:val="007A67E2"/>
    <w:rsid w:val="007B05EC"/>
    <w:rsid w:val="007B0DCA"/>
    <w:rsid w:val="007B1B87"/>
    <w:rsid w:val="007B1F11"/>
    <w:rsid w:val="007B4132"/>
    <w:rsid w:val="007B5E0F"/>
    <w:rsid w:val="007B693A"/>
    <w:rsid w:val="007C3DE2"/>
    <w:rsid w:val="007C6F54"/>
    <w:rsid w:val="007C75A3"/>
    <w:rsid w:val="007D5D84"/>
    <w:rsid w:val="007D6E88"/>
    <w:rsid w:val="007D7C63"/>
    <w:rsid w:val="007E7AB3"/>
    <w:rsid w:val="007E7B56"/>
    <w:rsid w:val="007F1AFB"/>
    <w:rsid w:val="007F293B"/>
    <w:rsid w:val="008025C7"/>
    <w:rsid w:val="00803961"/>
    <w:rsid w:val="0081057C"/>
    <w:rsid w:val="008111FE"/>
    <w:rsid w:val="00811304"/>
    <w:rsid w:val="00816B54"/>
    <w:rsid w:val="00817DEE"/>
    <w:rsid w:val="00824679"/>
    <w:rsid w:val="00826B36"/>
    <w:rsid w:val="00826D05"/>
    <w:rsid w:val="00827620"/>
    <w:rsid w:val="0083001B"/>
    <w:rsid w:val="008303C0"/>
    <w:rsid w:val="00835EC2"/>
    <w:rsid w:val="008472D8"/>
    <w:rsid w:val="008527DD"/>
    <w:rsid w:val="00853A13"/>
    <w:rsid w:val="00857BBF"/>
    <w:rsid w:val="00860474"/>
    <w:rsid w:val="00861062"/>
    <w:rsid w:val="00862E8B"/>
    <w:rsid w:val="008646A2"/>
    <w:rsid w:val="0086676C"/>
    <w:rsid w:val="008740AD"/>
    <w:rsid w:val="00874650"/>
    <w:rsid w:val="00875025"/>
    <w:rsid w:val="00877628"/>
    <w:rsid w:val="00881049"/>
    <w:rsid w:val="00885374"/>
    <w:rsid w:val="008869E2"/>
    <w:rsid w:val="008871C1"/>
    <w:rsid w:val="008873D0"/>
    <w:rsid w:val="00890D60"/>
    <w:rsid w:val="0089278A"/>
    <w:rsid w:val="0089429D"/>
    <w:rsid w:val="008A271C"/>
    <w:rsid w:val="008B45BD"/>
    <w:rsid w:val="008C3DA3"/>
    <w:rsid w:val="008C607B"/>
    <w:rsid w:val="008C68D2"/>
    <w:rsid w:val="008C7D2C"/>
    <w:rsid w:val="008D0B3A"/>
    <w:rsid w:val="008D1239"/>
    <w:rsid w:val="008D7727"/>
    <w:rsid w:val="008D7823"/>
    <w:rsid w:val="008E2E63"/>
    <w:rsid w:val="008E45F8"/>
    <w:rsid w:val="008E50EF"/>
    <w:rsid w:val="008F6C60"/>
    <w:rsid w:val="008F6F18"/>
    <w:rsid w:val="00903E3B"/>
    <w:rsid w:val="0090453E"/>
    <w:rsid w:val="00906AAE"/>
    <w:rsid w:val="0091065E"/>
    <w:rsid w:val="009247B6"/>
    <w:rsid w:val="0092492B"/>
    <w:rsid w:val="009255BC"/>
    <w:rsid w:val="00932721"/>
    <w:rsid w:val="00941A1C"/>
    <w:rsid w:val="00942E75"/>
    <w:rsid w:val="00943CF3"/>
    <w:rsid w:val="00952B7A"/>
    <w:rsid w:val="009558AE"/>
    <w:rsid w:val="00957889"/>
    <w:rsid w:val="009659CA"/>
    <w:rsid w:val="00973656"/>
    <w:rsid w:val="00977AC2"/>
    <w:rsid w:val="00977D96"/>
    <w:rsid w:val="0098390D"/>
    <w:rsid w:val="00986338"/>
    <w:rsid w:val="00986C4D"/>
    <w:rsid w:val="00990F68"/>
    <w:rsid w:val="009A0BD3"/>
    <w:rsid w:val="009A2160"/>
    <w:rsid w:val="009A2C36"/>
    <w:rsid w:val="009A47EA"/>
    <w:rsid w:val="009B0D60"/>
    <w:rsid w:val="009B6472"/>
    <w:rsid w:val="009C3564"/>
    <w:rsid w:val="009C5BA6"/>
    <w:rsid w:val="009C656B"/>
    <w:rsid w:val="009C6E59"/>
    <w:rsid w:val="009D0319"/>
    <w:rsid w:val="009D03E0"/>
    <w:rsid w:val="009D1188"/>
    <w:rsid w:val="009D290C"/>
    <w:rsid w:val="009D2BB3"/>
    <w:rsid w:val="009D655C"/>
    <w:rsid w:val="009D71B3"/>
    <w:rsid w:val="009F2350"/>
    <w:rsid w:val="00A02B0F"/>
    <w:rsid w:val="00A104FD"/>
    <w:rsid w:val="00A10679"/>
    <w:rsid w:val="00A12B0C"/>
    <w:rsid w:val="00A12C80"/>
    <w:rsid w:val="00A13A3F"/>
    <w:rsid w:val="00A240A6"/>
    <w:rsid w:val="00A31B8F"/>
    <w:rsid w:val="00A3229E"/>
    <w:rsid w:val="00A40F56"/>
    <w:rsid w:val="00A43B73"/>
    <w:rsid w:val="00A463DD"/>
    <w:rsid w:val="00A50622"/>
    <w:rsid w:val="00A519E7"/>
    <w:rsid w:val="00A51A96"/>
    <w:rsid w:val="00A617E8"/>
    <w:rsid w:val="00A64AA5"/>
    <w:rsid w:val="00A673A5"/>
    <w:rsid w:val="00A70A15"/>
    <w:rsid w:val="00A715DD"/>
    <w:rsid w:val="00A72AE0"/>
    <w:rsid w:val="00A81EE0"/>
    <w:rsid w:val="00A81F92"/>
    <w:rsid w:val="00A841F4"/>
    <w:rsid w:val="00A92E81"/>
    <w:rsid w:val="00AA2B69"/>
    <w:rsid w:val="00AA495D"/>
    <w:rsid w:val="00AA697C"/>
    <w:rsid w:val="00AA75FC"/>
    <w:rsid w:val="00AA7E13"/>
    <w:rsid w:val="00AB05B6"/>
    <w:rsid w:val="00AB2183"/>
    <w:rsid w:val="00AB4A96"/>
    <w:rsid w:val="00AD0738"/>
    <w:rsid w:val="00AE24ED"/>
    <w:rsid w:val="00AE3CD7"/>
    <w:rsid w:val="00AE5E55"/>
    <w:rsid w:val="00AF1435"/>
    <w:rsid w:val="00AF77F2"/>
    <w:rsid w:val="00B05AA0"/>
    <w:rsid w:val="00B05AD1"/>
    <w:rsid w:val="00B074D0"/>
    <w:rsid w:val="00B12F9C"/>
    <w:rsid w:val="00B143F4"/>
    <w:rsid w:val="00B21A11"/>
    <w:rsid w:val="00B2276F"/>
    <w:rsid w:val="00B253DF"/>
    <w:rsid w:val="00B30FAF"/>
    <w:rsid w:val="00B31FF8"/>
    <w:rsid w:val="00B332C5"/>
    <w:rsid w:val="00B35D0F"/>
    <w:rsid w:val="00B35DD3"/>
    <w:rsid w:val="00B465C5"/>
    <w:rsid w:val="00B47148"/>
    <w:rsid w:val="00B57255"/>
    <w:rsid w:val="00B634A5"/>
    <w:rsid w:val="00B65A85"/>
    <w:rsid w:val="00B66B8D"/>
    <w:rsid w:val="00B821A0"/>
    <w:rsid w:val="00B8239F"/>
    <w:rsid w:val="00B82D6D"/>
    <w:rsid w:val="00B83E30"/>
    <w:rsid w:val="00B905F1"/>
    <w:rsid w:val="00B93D94"/>
    <w:rsid w:val="00BA106C"/>
    <w:rsid w:val="00BA59D1"/>
    <w:rsid w:val="00BA66C6"/>
    <w:rsid w:val="00BB0E39"/>
    <w:rsid w:val="00BB5876"/>
    <w:rsid w:val="00BD066D"/>
    <w:rsid w:val="00BD1B88"/>
    <w:rsid w:val="00BD1CA0"/>
    <w:rsid w:val="00BD29C4"/>
    <w:rsid w:val="00BD40EB"/>
    <w:rsid w:val="00BE1758"/>
    <w:rsid w:val="00BE5E22"/>
    <w:rsid w:val="00BE5ECB"/>
    <w:rsid w:val="00BE68D1"/>
    <w:rsid w:val="00BF3922"/>
    <w:rsid w:val="00BF6708"/>
    <w:rsid w:val="00C005AF"/>
    <w:rsid w:val="00C0191E"/>
    <w:rsid w:val="00C030F3"/>
    <w:rsid w:val="00C07173"/>
    <w:rsid w:val="00C1418A"/>
    <w:rsid w:val="00C16071"/>
    <w:rsid w:val="00C21516"/>
    <w:rsid w:val="00C23A4B"/>
    <w:rsid w:val="00C30360"/>
    <w:rsid w:val="00C33F1E"/>
    <w:rsid w:val="00C349A4"/>
    <w:rsid w:val="00C40245"/>
    <w:rsid w:val="00C40802"/>
    <w:rsid w:val="00C40D21"/>
    <w:rsid w:val="00C433BD"/>
    <w:rsid w:val="00C47AFD"/>
    <w:rsid w:val="00C50F0F"/>
    <w:rsid w:val="00C57B07"/>
    <w:rsid w:val="00C61452"/>
    <w:rsid w:val="00C739DE"/>
    <w:rsid w:val="00C7714D"/>
    <w:rsid w:val="00C81215"/>
    <w:rsid w:val="00C8408E"/>
    <w:rsid w:val="00C85B55"/>
    <w:rsid w:val="00C85E22"/>
    <w:rsid w:val="00C8755C"/>
    <w:rsid w:val="00C87E1B"/>
    <w:rsid w:val="00C90C1B"/>
    <w:rsid w:val="00C94629"/>
    <w:rsid w:val="00C96282"/>
    <w:rsid w:val="00C96789"/>
    <w:rsid w:val="00CA4352"/>
    <w:rsid w:val="00CA4418"/>
    <w:rsid w:val="00CA4CA6"/>
    <w:rsid w:val="00CA6BCE"/>
    <w:rsid w:val="00CA6D45"/>
    <w:rsid w:val="00CA75C7"/>
    <w:rsid w:val="00CB4FF6"/>
    <w:rsid w:val="00CC1E01"/>
    <w:rsid w:val="00CC4FE6"/>
    <w:rsid w:val="00CD179E"/>
    <w:rsid w:val="00CD2D4F"/>
    <w:rsid w:val="00CD4193"/>
    <w:rsid w:val="00CE032C"/>
    <w:rsid w:val="00CE13B9"/>
    <w:rsid w:val="00CE46B7"/>
    <w:rsid w:val="00CF218D"/>
    <w:rsid w:val="00CF457D"/>
    <w:rsid w:val="00CF4860"/>
    <w:rsid w:val="00D16E99"/>
    <w:rsid w:val="00D21F89"/>
    <w:rsid w:val="00D22391"/>
    <w:rsid w:val="00D2282E"/>
    <w:rsid w:val="00D258BE"/>
    <w:rsid w:val="00D27D14"/>
    <w:rsid w:val="00D32795"/>
    <w:rsid w:val="00D33258"/>
    <w:rsid w:val="00D379D0"/>
    <w:rsid w:val="00D40EAB"/>
    <w:rsid w:val="00D444F2"/>
    <w:rsid w:val="00D51169"/>
    <w:rsid w:val="00D5135F"/>
    <w:rsid w:val="00D525BE"/>
    <w:rsid w:val="00D5435A"/>
    <w:rsid w:val="00D61553"/>
    <w:rsid w:val="00D6621E"/>
    <w:rsid w:val="00D67D95"/>
    <w:rsid w:val="00D72BF2"/>
    <w:rsid w:val="00D833E2"/>
    <w:rsid w:val="00D842FF"/>
    <w:rsid w:val="00D85B0E"/>
    <w:rsid w:val="00D94257"/>
    <w:rsid w:val="00D956AE"/>
    <w:rsid w:val="00DA0221"/>
    <w:rsid w:val="00DA04B7"/>
    <w:rsid w:val="00DA43F8"/>
    <w:rsid w:val="00DB0167"/>
    <w:rsid w:val="00DB3C51"/>
    <w:rsid w:val="00DC1564"/>
    <w:rsid w:val="00DC18E3"/>
    <w:rsid w:val="00DC1DD9"/>
    <w:rsid w:val="00DC2DFA"/>
    <w:rsid w:val="00DC505C"/>
    <w:rsid w:val="00DC7E5E"/>
    <w:rsid w:val="00DE40EA"/>
    <w:rsid w:val="00DE632E"/>
    <w:rsid w:val="00DF0A16"/>
    <w:rsid w:val="00DF325B"/>
    <w:rsid w:val="00E01C5C"/>
    <w:rsid w:val="00E02CC5"/>
    <w:rsid w:val="00E05157"/>
    <w:rsid w:val="00E12117"/>
    <w:rsid w:val="00E12DDF"/>
    <w:rsid w:val="00E17DF0"/>
    <w:rsid w:val="00E24FBA"/>
    <w:rsid w:val="00E251FF"/>
    <w:rsid w:val="00E3131B"/>
    <w:rsid w:val="00E37D92"/>
    <w:rsid w:val="00E43655"/>
    <w:rsid w:val="00E43CF0"/>
    <w:rsid w:val="00E450CF"/>
    <w:rsid w:val="00E47414"/>
    <w:rsid w:val="00E560B6"/>
    <w:rsid w:val="00E63C32"/>
    <w:rsid w:val="00E63F82"/>
    <w:rsid w:val="00E67904"/>
    <w:rsid w:val="00E67C9C"/>
    <w:rsid w:val="00E80685"/>
    <w:rsid w:val="00E86B02"/>
    <w:rsid w:val="00E86B64"/>
    <w:rsid w:val="00E902F3"/>
    <w:rsid w:val="00E92CFA"/>
    <w:rsid w:val="00E955DA"/>
    <w:rsid w:val="00EA0F28"/>
    <w:rsid w:val="00EA131E"/>
    <w:rsid w:val="00EA5542"/>
    <w:rsid w:val="00EA6713"/>
    <w:rsid w:val="00EB092F"/>
    <w:rsid w:val="00EC3DAB"/>
    <w:rsid w:val="00EC68EC"/>
    <w:rsid w:val="00EC7152"/>
    <w:rsid w:val="00ED1E45"/>
    <w:rsid w:val="00ED1F77"/>
    <w:rsid w:val="00ED2C3A"/>
    <w:rsid w:val="00ED70B2"/>
    <w:rsid w:val="00EE0945"/>
    <w:rsid w:val="00EE2BB2"/>
    <w:rsid w:val="00EE2CB8"/>
    <w:rsid w:val="00EE3A7D"/>
    <w:rsid w:val="00EE50E2"/>
    <w:rsid w:val="00F03E8B"/>
    <w:rsid w:val="00F1024E"/>
    <w:rsid w:val="00F126C3"/>
    <w:rsid w:val="00F21DB5"/>
    <w:rsid w:val="00F23F44"/>
    <w:rsid w:val="00F30170"/>
    <w:rsid w:val="00F30DB1"/>
    <w:rsid w:val="00F33BE6"/>
    <w:rsid w:val="00F35599"/>
    <w:rsid w:val="00F35612"/>
    <w:rsid w:val="00F36A73"/>
    <w:rsid w:val="00F36BCA"/>
    <w:rsid w:val="00F3759B"/>
    <w:rsid w:val="00F42A2D"/>
    <w:rsid w:val="00F431FE"/>
    <w:rsid w:val="00F432ED"/>
    <w:rsid w:val="00F4704E"/>
    <w:rsid w:val="00F547FA"/>
    <w:rsid w:val="00F60F5F"/>
    <w:rsid w:val="00F634D6"/>
    <w:rsid w:val="00F65CB3"/>
    <w:rsid w:val="00F669D5"/>
    <w:rsid w:val="00F70106"/>
    <w:rsid w:val="00F75096"/>
    <w:rsid w:val="00F75BC7"/>
    <w:rsid w:val="00F8328D"/>
    <w:rsid w:val="00F83AB9"/>
    <w:rsid w:val="00F85A43"/>
    <w:rsid w:val="00F87407"/>
    <w:rsid w:val="00F87DBB"/>
    <w:rsid w:val="00F915FF"/>
    <w:rsid w:val="00F9623A"/>
    <w:rsid w:val="00FA1A86"/>
    <w:rsid w:val="00FA33D2"/>
    <w:rsid w:val="00FA455B"/>
    <w:rsid w:val="00FA7446"/>
    <w:rsid w:val="00FB5BA7"/>
    <w:rsid w:val="00FB6473"/>
    <w:rsid w:val="00FD0704"/>
    <w:rsid w:val="00FD307D"/>
    <w:rsid w:val="00FE585B"/>
    <w:rsid w:val="00FF3F32"/>
    <w:rsid w:val="00FF402C"/>
    <w:rsid w:val="00FF5474"/>
    <w:rsid w:val="00FF6680"/>
    <w:rsid w:val="00FF75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US" w:eastAsia="en-US" w:bidi="ar-SA"/>
      </w:rPr>
    </w:rPrDefault>
    <w:pPrDefault>
      <w:pPr>
        <w:spacing w:after="130" w:line="320" w:lineRule="atLeast"/>
        <w:ind w:left="720" w:hanging="432"/>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table of figures" w:uiPriority="99"/>
    <w:lsdException w:name="annotation reference" w:uiPriority="99"/>
    <w:lsdException w:name="Title" w:uiPriority="10" w:qFormat="1"/>
    <w:lsdException w:name="Default Paragraph Font" w:uiPriority="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0886"/>
    <w:pPr>
      <w:spacing w:after="280"/>
      <w:ind w:left="0" w:firstLine="0"/>
    </w:pPr>
    <w:rPr>
      <w:rFonts w:ascii="Times New Roman" w:hAnsi="Times New Roman"/>
      <w:sz w:val="24"/>
      <w:szCs w:val="24"/>
    </w:rPr>
  </w:style>
  <w:style w:type="paragraph" w:styleId="Heading1">
    <w:name w:val="heading 1"/>
    <w:basedOn w:val="Normal"/>
    <w:next w:val="Normal"/>
    <w:qFormat/>
    <w:rsid w:val="00DE632E"/>
    <w:pPr>
      <w:keepNext/>
      <w:numPr>
        <w:numId w:val="4"/>
      </w:numPr>
      <w:pBdr>
        <w:bottom w:val="single" w:sz="12" w:space="26" w:color="auto"/>
      </w:pBdr>
      <w:spacing w:after="240"/>
      <w:jc w:val="left"/>
      <w:outlineLvl w:val="0"/>
    </w:pPr>
    <w:rPr>
      <w:rFonts w:ascii="Arial" w:hAnsi="Arial" w:cs="Arial"/>
      <w:b/>
      <w:bCs/>
      <w:sz w:val="36"/>
      <w:szCs w:val="36"/>
    </w:rPr>
  </w:style>
  <w:style w:type="paragraph" w:styleId="Heading2">
    <w:name w:val="heading 2"/>
    <w:basedOn w:val="Normal"/>
    <w:next w:val="Normal"/>
    <w:qFormat/>
    <w:rsid w:val="00DE632E"/>
    <w:pPr>
      <w:keepNext/>
      <w:numPr>
        <w:ilvl w:val="1"/>
        <w:numId w:val="4"/>
      </w:numPr>
      <w:spacing w:before="480" w:after="180"/>
      <w:jc w:val="left"/>
      <w:outlineLvl w:val="1"/>
    </w:pPr>
    <w:rPr>
      <w:rFonts w:ascii="Arial" w:hAnsi="Arial" w:cs="Arial"/>
      <w:b/>
      <w:bCs/>
      <w:sz w:val="28"/>
      <w:szCs w:val="28"/>
    </w:rPr>
  </w:style>
  <w:style w:type="paragraph" w:styleId="Heading3">
    <w:name w:val="heading 3"/>
    <w:basedOn w:val="Normal"/>
    <w:next w:val="Normal"/>
    <w:autoRedefine/>
    <w:qFormat/>
    <w:rsid w:val="00DE632E"/>
    <w:pPr>
      <w:keepNext/>
      <w:numPr>
        <w:ilvl w:val="2"/>
        <w:numId w:val="4"/>
      </w:numPr>
      <w:spacing w:after="180" w:line="240" w:lineRule="auto"/>
      <w:jc w:val="left"/>
      <w:outlineLvl w:val="2"/>
    </w:pPr>
    <w:rPr>
      <w:rFonts w:ascii="Arial" w:hAnsi="Arial" w:cs="Arial"/>
      <w:b/>
      <w:bCs/>
      <w:i/>
      <w:iCs/>
    </w:rPr>
  </w:style>
  <w:style w:type="paragraph" w:styleId="Heading4">
    <w:name w:val="heading 4"/>
    <w:basedOn w:val="Normal"/>
    <w:next w:val="Normal"/>
    <w:qFormat/>
    <w:rsid w:val="00DE632E"/>
    <w:pPr>
      <w:keepNext/>
      <w:keepLines/>
      <w:numPr>
        <w:ilvl w:val="3"/>
        <w:numId w:val="4"/>
      </w:numPr>
      <w:spacing w:after="180"/>
      <w:jc w:val="left"/>
      <w:outlineLvl w:val="3"/>
    </w:pPr>
    <w:rPr>
      <w:b/>
      <w:i/>
      <w:iCs/>
      <w:u w:val="single"/>
    </w:rPr>
  </w:style>
  <w:style w:type="paragraph" w:styleId="Heading5">
    <w:name w:val="heading 5"/>
    <w:basedOn w:val="Normal"/>
    <w:next w:val="Normal"/>
    <w:qFormat/>
    <w:rsid w:val="00DE632E"/>
    <w:pPr>
      <w:keepNext/>
      <w:keepLines/>
      <w:numPr>
        <w:ilvl w:val="4"/>
        <w:numId w:val="4"/>
      </w:numPr>
      <w:outlineLvl w:val="4"/>
    </w:pPr>
    <w:rPr>
      <w:rFonts w:cs="Arial"/>
      <w:bCs/>
      <w:i/>
      <w:u w:val="single"/>
    </w:rPr>
  </w:style>
  <w:style w:type="paragraph" w:styleId="Heading6">
    <w:name w:val="heading 6"/>
    <w:basedOn w:val="Heading1"/>
    <w:next w:val="Normal"/>
    <w:qFormat/>
    <w:rsid w:val="00D842FF"/>
    <w:pPr>
      <w:numPr>
        <w:ilvl w:val="5"/>
      </w:numPr>
      <w:pBdr>
        <w:bottom w:val="none" w:sz="0" w:space="0" w:color="auto"/>
      </w:pBdr>
      <w:tabs>
        <w:tab w:val="left" w:pos="2880"/>
      </w:tabs>
      <w:spacing w:after="120"/>
      <w:outlineLvl w:val="5"/>
    </w:pPr>
    <w:rPr>
      <w:rFonts w:ascii="Times New Roman" w:hAnsi="Times New Roman"/>
      <w:sz w:val="24"/>
      <w:szCs w:val="24"/>
    </w:rPr>
  </w:style>
  <w:style w:type="paragraph" w:styleId="Heading7">
    <w:name w:val="heading 7"/>
    <w:basedOn w:val="Heading1"/>
    <w:next w:val="Normal"/>
    <w:qFormat/>
    <w:rsid w:val="00D842FF"/>
    <w:pPr>
      <w:numPr>
        <w:ilvl w:val="6"/>
      </w:numPr>
      <w:tabs>
        <w:tab w:val="left" w:pos="3456"/>
      </w:tabs>
      <w:outlineLvl w:val="6"/>
    </w:pPr>
  </w:style>
  <w:style w:type="paragraph" w:styleId="Heading8">
    <w:name w:val="heading 8"/>
    <w:basedOn w:val="Normal"/>
    <w:next w:val="Normal"/>
    <w:qFormat/>
    <w:rsid w:val="00DE632E"/>
    <w:pPr>
      <w:numPr>
        <w:ilvl w:val="7"/>
        <w:numId w:val="4"/>
      </w:numPr>
      <w:outlineLvl w:val="7"/>
    </w:pPr>
    <w:rPr>
      <w:rFonts w:ascii="Tms Rmn" w:hAnsi="Tms Rmn"/>
      <w:i/>
      <w:iCs/>
      <w:sz w:val="20"/>
      <w:szCs w:val="20"/>
    </w:rPr>
  </w:style>
  <w:style w:type="paragraph" w:styleId="Heading9">
    <w:name w:val="heading 9"/>
    <w:basedOn w:val="Normal"/>
    <w:next w:val="Normal"/>
    <w:qFormat/>
    <w:rsid w:val="00DE632E"/>
    <w:pPr>
      <w:numPr>
        <w:ilvl w:val="8"/>
        <w:numId w:val="4"/>
      </w:numPr>
      <w:outlineLvl w:val="8"/>
    </w:pPr>
    <w:rPr>
      <w:rFonts w:ascii="Tms Rmn" w:hAnsi="Tms Rm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J">
    <w:name w:val="pJ"/>
    <w:next w:val="Normal"/>
    <w:rsid w:val="00D842FF"/>
    <w:rPr>
      <w:rFonts w:ascii="Times New Roman" w:hAnsi="Times New Roman"/>
      <w:sz w:val="24"/>
      <w:szCs w:val="24"/>
    </w:rPr>
  </w:style>
  <w:style w:type="paragraph" w:customStyle="1" w:styleId="pB">
    <w:name w:val="pB"/>
    <w:basedOn w:val="Normal"/>
    <w:rsid w:val="0011319A"/>
    <w:pPr>
      <w:tabs>
        <w:tab w:val="left" w:pos="720"/>
        <w:tab w:val="left" w:pos="1080"/>
      </w:tabs>
      <w:ind w:right="288"/>
    </w:pPr>
  </w:style>
  <w:style w:type="paragraph" w:customStyle="1" w:styleId="pF">
    <w:name w:val="pF"/>
    <w:rsid w:val="0011319A"/>
    <w:rPr>
      <w:rFonts w:ascii="Times New Roman" w:hAnsi="Times New Roman"/>
      <w:sz w:val="24"/>
      <w:szCs w:val="24"/>
    </w:rPr>
  </w:style>
  <w:style w:type="paragraph" w:customStyle="1" w:styleId="pS">
    <w:name w:val="pS"/>
    <w:rsid w:val="00D842FF"/>
    <w:pPr>
      <w:tabs>
        <w:tab w:val="left" w:pos="720"/>
        <w:tab w:val="left" w:pos="1080"/>
      </w:tabs>
      <w:ind w:right="288"/>
    </w:pPr>
    <w:rPr>
      <w:rFonts w:ascii="Times New Roman" w:hAnsi="Times New Roman"/>
      <w:sz w:val="24"/>
      <w:szCs w:val="24"/>
    </w:rPr>
  </w:style>
  <w:style w:type="paragraph" w:customStyle="1" w:styleId="pD">
    <w:name w:val="pD"/>
    <w:basedOn w:val="pF"/>
    <w:rsid w:val="00D842FF"/>
    <w:pPr>
      <w:tabs>
        <w:tab w:val="left" w:pos="1152"/>
      </w:tabs>
      <w:spacing w:before="60" w:line="280" w:lineRule="atLeast"/>
      <w:ind w:left="1152" w:right="288"/>
    </w:pPr>
  </w:style>
  <w:style w:type="paragraph" w:customStyle="1" w:styleId="pE">
    <w:name w:val="pE"/>
    <w:basedOn w:val="pD"/>
    <w:rsid w:val="00D842FF"/>
    <w:pPr>
      <w:tabs>
        <w:tab w:val="clear" w:pos="1152"/>
      </w:tabs>
      <w:spacing w:line="240" w:lineRule="atLeast"/>
      <w:ind w:left="1440" w:hanging="288"/>
    </w:pPr>
  </w:style>
  <w:style w:type="paragraph" w:styleId="Header">
    <w:name w:val="header"/>
    <w:basedOn w:val="pF"/>
    <w:link w:val="HeaderChar"/>
    <w:rsid w:val="009D0319"/>
    <w:pPr>
      <w:pBdr>
        <w:bottom w:val="single" w:sz="12" w:space="1" w:color="auto"/>
      </w:pBdr>
      <w:tabs>
        <w:tab w:val="right" w:pos="9000"/>
      </w:tabs>
      <w:spacing w:after="0"/>
      <w:ind w:left="0" w:firstLine="0"/>
      <w:jc w:val="center"/>
    </w:pPr>
    <w:rPr>
      <w:rFonts w:ascii="Tms Rmn" w:hAnsi="Tms Rmn"/>
      <w:i/>
      <w:iCs/>
    </w:rPr>
  </w:style>
  <w:style w:type="paragraph" w:styleId="Footer">
    <w:name w:val="footer"/>
    <w:basedOn w:val="Header"/>
    <w:rsid w:val="0047130C"/>
    <w:pPr>
      <w:pBdr>
        <w:top w:val="single" w:sz="12" w:space="1" w:color="auto"/>
        <w:bottom w:val="none" w:sz="0" w:space="0" w:color="auto"/>
      </w:pBdr>
      <w:tabs>
        <w:tab w:val="clear" w:pos="9000"/>
        <w:tab w:val="center" w:pos="4680"/>
        <w:tab w:val="right" w:pos="9360"/>
      </w:tabs>
      <w:jc w:val="left"/>
    </w:pPr>
  </w:style>
  <w:style w:type="character" w:styleId="FootnoteReference">
    <w:name w:val="footnote reference"/>
    <w:basedOn w:val="DefaultParagraphFont"/>
    <w:rsid w:val="00D842FF"/>
    <w:rPr>
      <w:position w:val="6"/>
      <w:sz w:val="16"/>
      <w:szCs w:val="16"/>
    </w:rPr>
  </w:style>
  <w:style w:type="paragraph" w:styleId="FootnoteText">
    <w:name w:val="footnote text"/>
    <w:basedOn w:val="Normal"/>
    <w:link w:val="FootnoteTextChar"/>
    <w:autoRedefine/>
    <w:rsid w:val="000073BE"/>
    <w:pPr>
      <w:spacing w:before="120" w:after="0" w:line="240" w:lineRule="auto"/>
      <w:ind w:left="187" w:hanging="187"/>
      <w:jc w:val="left"/>
    </w:pPr>
    <w:rPr>
      <w:rFonts w:ascii="Tms Rmn" w:hAnsi="Tms Rmn"/>
      <w:sz w:val="20"/>
      <w:szCs w:val="20"/>
    </w:rPr>
  </w:style>
  <w:style w:type="paragraph" w:styleId="Index1">
    <w:name w:val="index 1"/>
    <w:basedOn w:val="Normal"/>
    <w:next w:val="Normal"/>
    <w:rsid w:val="00D842FF"/>
    <w:rPr>
      <w:rFonts w:ascii="Tms Rmn" w:hAnsi="Tms Rmn"/>
    </w:rPr>
  </w:style>
  <w:style w:type="paragraph" w:styleId="Index2">
    <w:name w:val="index 2"/>
    <w:basedOn w:val="Normal"/>
    <w:next w:val="Normal"/>
    <w:rsid w:val="00D842FF"/>
    <w:pPr>
      <w:ind w:left="360"/>
    </w:pPr>
    <w:rPr>
      <w:rFonts w:ascii="Tms Rmn" w:hAnsi="Tms Rmn"/>
    </w:rPr>
  </w:style>
  <w:style w:type="paragraph" w:styleId="Index3">
    <w:name w:val="index 3"/>
    <w:basedOn w:val="Normal"/>
    <w:next w:val="Normal"/>
    <w:rsid w:val="00D842FF"/>
    <w:rPr>
      <w:rFonts w:ascii="Tms Rmn" w:hAnsi="Tms Rmn"/>
    </w:rPr>
  </w:style>
  <w:style w:type="paragraph" w:styleId="Index4">
    <w:name w:val="index 4"/>
    <w:basedOn w:val="Normal"/>
    <w:next w:val="Normal"/>
    <w:rsid w:val="00D842FF"/>
    <w:rPr>
      <w:rFonts w:ascii="Tms Rmn" w:hAnsi="Tms Rmn"/>
    </w:rPr>
  </w:style>
  <w:style w:type="paragraph" w:styleId="Index5">
    <w:name w:val="index 5"/>
    <w:basedOn w:val="Normal"/>
    <w:next w:val="Normal"/>
    <w:rsid w:val="00D842FF"/>
    <w:pPr>
      <w:ind w:left="1440"/>
    </w:pPr>
    <w:rPr>
      <w:rFonts w:ascii="Tms Rmn" w:hAnsi="Tms Rmn"/>
    </w:rPr>
  </w:style>
  <w:style w:type="paragraph" w:styleId="Index6">
    <w:name w:val="index 6"/>
    <w:basedOn w:val="Normal"/>
    <w:next w:val="Normal"/>
    <w:rsid w:val="00D842FF"/>
    <w:pPr>
      <w:ind w:left="1800"/>
    </w:pPr>
    <w:rPr>
      <w:rFonts w:ascii="Tms Rmn" w:hAnsi="Tms Rmn"/>
    </w:rPr>
  </w:style>
  <w:style w:type="paragraph" w:styleId="Index7">
    <w:name w:val="index 7"/>
    <w:basedOn w:val="Normal"/>
    <w:next w:val="Normal"/>
    <w:rsid w:val="00D842FF"/>
    <w:pPr>
      <w:ind w:left="2160"/>
    </w:pPr>
    <w:rPr>
      <w:rFonts w:ascii="Tms Rmn" w:hAnsi="Tms Rmn"/>
    </w:rPr>
  </w:style>
  <w:style w:type="paragraph" w:styleId="IndexHeading">
    <w:name w:val="index heading"/>
    <w:basedOn w:val="Normal"/>
    <w:next w:val="Index1"/>
    <w:rsid w:val="00D842FF"/>
    <w:rPr>
      <w:rFonts w:ascii="Tms Rmn" w:hAnsi="Tms Rmn"/>
    </w:rPr>
  </w:style>
  <w:style w:type="character" w:styleId="LineNumber">
    <w:name w:val="line number"/>
    <w:basedOn w:val="DefaultParagraphFont"/>
    <w:rsid w:val="00D842FF"/>
  </w:style>
  <w:style w:type="paragraph" w:customStyle="1" w:styleId="pA">
    <w:name w:val="pA"/>
    <w:rsid w:val="0011319A"/>
    <w:pPr>
      <w:spacing w:line="130" w:lineRule="exact"/>
    </w:pPr>
    <w:rPr>
      <w:rFonts w:ascii="Times New Roman" w:hAnsi="Times New Roman"/>
      <w:sz w:val="24"/>
      <w:szCs w:val="24"/>
    </w:rPr>
  </w:style>
  <w:style w:type="paragraph" w:customStyle="1" w:styleId="pG">
    <w:name w:val="pG"/>
    <w:basedOn w:val="Normal"/>
    <w:rsid w:val="008E2E63"/>
    <w:pPr>
      <w:keepNext/>
      <w:spacing w:after="130"/>
      <w:ind w:left="720" w:hanging="432"/>
    </w:pPr>
    <w:rPr>
      <w:rFonts w:ascii="Arial" w:hAnsi="Arial" w:cs="Arial"/>
      <w:b/>
      <w:bCs/>
    </w:rPr>
  </w:style>
  <w:style w:type="paragraph" w:customStyle="1" w:styleId="pT">
    <w:name w:val="pT"/>
    <w:basedOn w:val="Normal"/>
    <w:rsid w:val="008E2E63"/>
    <w:pPr>
      <w:keepNext/>
      <w:spacing w:after="130"/>
      <w:ind w:left="720" w:hanging="432"/>
    </w:pPr>
    <w:rPr>
      <w:rFonts w:ascii="Arial" w:hAnsi="Arial" w:cs="Arial"/>
      <w:b/>
      <w:bCs/>
    </w:rPr>
  </w:style>
  <w:style w:type="paragraph" w:customStyle="1" w:styleId="pX">
    <w:name w:val="pX"/>
    <w:basedOn w:val="pF"/>
    <w:rsid w:val="00D842FF"/>
    <w:pPr>
      <w:spacing w:line="240" w:lineRule="atLeast"/>
    </w:pPr>
  </w:style>
  <w:style w:type="paragraph" w:customStyle="1" w:styleId="TitlePage">
    <w:name w:val="Title Page"/>
    <w:basedOn w:val="Normal"/>
    <w:rsid w:val="008E2E63"/>
    <w:pPr>
      <w:spacing w:after="130"/>
      <w:ind w:left="1440" w:right="1440" w:hanging="432"/>
      <w:jc w:val="center"/>
    </w:pPr>
    <w:rPr>
      <w:rFonts w:ascii="Arial" w:hAnsi="Arial" w:cs="Arial"/>
      <w:b/>
      <w:bCs/>
      <w:sz w:val="36"/>
      <w:szCs w:val="36"/>
    </w:rPr>
  </w:style>
  <w:style w:type="paragraph" w:styleId="TOC1">
    <w:name w:val="toc 1"/>
    <w:basedOn w:val="pF"/>
    <w:next w:val="Normal"/>
    <w:uiPriority w:val="39"/>
    <w:rsid w:val="00E37D92"/>
    <w:pPr>
      <w:tabs>
        <w:tab w:val="right" w:leader="dot" w:pos="9000"/>
      </w:tabs>
      <w:spacing w:before="120" w:line="240" w:lineRule="auto"/>
      <w:ind w:left="0" w:right="360" w:firstLine="0"/>
    </w:pPr>
    <w:rPr>
      <w:rFonts w:ascii="Arial" w:hAnsi="Arial" w:cs="Arial"/>
      <w:b/>
      <w:bCs/>
    </w:rPr>
  </w:style>
  <w:style w:type="paragraph" w:styleId="TOC2">
    <w:name w:val="toc 2"/>
    <w:basedOn w:val="TOC1"/>
    <w:next w:val="Normal"/>
    <w:uiPriority w:val="39"/>
    <w:rsid w:val="00E37D92"/>
    <w:pPr>
      <w:spacing w:before="0" w:after="0"/>
      <w:ind w:left="864" w:right="720" w:hanging="432"/>
    </w:pPr>
    <w:rPr>
      <w:b w:val="0"/>
      <w:bCs w:val="0"/>
    </w:rPr>
  </w:style>
  <w:style w:type="paragraph" w:styleId="TOC3">
    <w:name w:val="toc 3"/>
    <w:basedOn w:val="TOC1"/>
    <w:uiPriority w:val="39"/>
    <w:rsid w:val="00E37D92"/>
    <w:pPr>
      <w:spacing w:before="0" w:after="0"/>
      <w:ind w:left="1296" w:right="720" w:hanging="432"/>
    </w:pPr>
    <w:rPr>
      <w:b w:val="0"/>
      <w:bCs w:val="0"/>
      <w:i/>
      <w:iCs/>
      <w:sz w:val="20"/>
      <w:szCs w:val="20"/>
    </w:rPr>
  </w:style>
  <w:style w:type="paragraph" w:styleId="TOC4">
    <w:name w:val="toc 4"/>
    <w:basedOn w:val="TOC1"/>
    <w:rsid w:val="00D842FF"/>
    <w:pPr>
      <w:spacing w:before="0" w:after="0"/>
    </w:pPr>
    <w:rPr>
      <w:rFonts w:cs="Times New Roman"/>
      <w:b w:val="0"/>
      <w:bCs w:val="0"/>
      <w:sz w:val="20"/>
      <w:szCs w:val="20"/>
    </w:rPr>
  </w:style>
  <w:style w:type="paragraph" w:styleId="TOC5">
    <w:name w:val="toc 5"/>
    <w:basedOn w:val="TOC4"/>
    <w:next w:val="Normal"/>
    <w:rsid w:val="00D842FF"/>
  </w:style>
  <w:style w:type="paragraph" w:styleId="EnvelopeAddress">
    <w:name w:val="envelope address"/>
    <w:basedOn w:val="Normal"/>
    <w:rsid w:val="00D842FF"/>
    <w:pPr>
      <w:framePr w:w="7920" w:h="1980" w:hRule="exact" w:hSpace="180" w:wrap="auto" w:hAnchor="page" w:xAlign="center" w:yAlign="bottom"/>
      <w:ind w:left="2880"/>
    </w:pPr>
    <w:rPr>
      <w:rFonts w:ascii="Arial Narrow" w:hAnsi="Arial Narrow"/>
      <w:smallCaps/>
    </w:rPr>
  </w:style>
  <w:style w:type="paragraph" w:customStyle="1" w:styleId="Large">
    <w:name w:val="Large"/>
    <w:basedOn w:val="pF"/>
    <w:next w:val="pF"/>
    <w:rsid w:val="00D842FF"/>
    <w:pPr>
      <w:keepNext/>
      <w:spacing w:before="480" w:after="360" w:line="720" w:lineRule="exact"/>
    </w:pPr>
    <w:rPr>
      <w:rFonts w:ascii="Arial" w:hAnsi="Arial" w:cs="Arial"/>
      <w:b/>
      <w:bCs/>
      <w:i/>
      <w:iCs/>
      <w:sz w:val="72"/>
      <w:szCs w:val="72"/>
    </w:rPr>
  </w:style>
  <w:style w:type="paragraph" w:styleId="ListBullet">
    <w:name w:val="List Bullet"/>
    <w:basedOn w:val="Normal"/>
    <w:rsid w:val="00D842FF"/>
    <w:pPr>
      <w:ind w:left="360"/>
    </w:pPr>
  </w:style>
  <w:style w:type="paragraph" w:customStyle="1" w:styleId="pA2">
    <w:name w:val="pA2"/>
    <w:basedOn w:val="pA"/>
    <w:next w:val="pA"/>
    <w:rsid w:val="0011319A"/>
  </w:style>
  <w:style w:type="paragraph" w:styleId="Caption">
    <w:name w:val="caption"/>
    <w:basedOn w:val="Normal"/>
    <w:next w:val="Normal"/>
    <w:autoRedefine/>
    <w:qFormat/>
    <w:rsid w:val="00F915FF"/>
    <w:pPr>
      <w:keepNext/>
      <w:keepLines/>
      <w:spacing w:after="240" w:line="240" w:lineRule="auto"/>
      <w:ind w:firstLine="8"/>
      <w:jc w:val="left"/>
    </w:pPr>
    <w:rPr>
      <w:rFonts w:ascii="Arial" w:hAnsi="Arial" w:cs="Arial"/>
      <w:b/>
      <w:bCs/>
      <w:sz w:val="22"/>
    </w:rPr>
  </w:style>
  <w:style w:type="paragraph" w:customStyle="1" w:styleId="resumeparagraph">
    <w:name w:val="resume paragraph"/>
    <w:rsid w:val="00D842FF"/>
    <w:pPr>
      <w:spacing w:before="100" w:line="240" w:lineRule="exact"/>
      <w:ind w:hanging="288"/>
    </w:pPr>
    <w:rPr>
      <w:rFonts w:ascii="Times New Roman" w:hAnsi="Times New Roman"/>
      <w:sz w:val="24"/>
      <w:szCs w:val="24"/>
    </w:rPr>
  </w:style>
  <w:style w:type="paragraph" w:customStyle="1" w:styleId="Headline">
    <w:name w:val="Headline"/>
    <w:basedOn w:val="Normal"/>
    <w:rsid w:val="00D842FF"/>
    <w:pPr>
      <w:spacing w:line="240" w:lineRule="auto"/>
    </w:pPr>
    <w:rPr>
      <w:b/>
      <w:bCs/>
      <w:sz w:val="36"/>
      <w:szCs w:val="36"/>
    </w:rPr>
  </w:style>
  <w:style w:type="paragraph" w:customStyle="1" w:styleId="projtitle">
    <w:name w:val="projtitle"/>
    <w:basedOn w:val="Normal"/>
    <w:next w:val="For"/>
    <w:rsid w:val="00D842FF"/>
    <w:pPr>
      <w:keepNext/>
      <w:keepLines/>
      <w:tabs>
        <w:tab w:val="left" w:pos="720"/>
        <w:tab w:val="left" w:pos="1080"/>
      </w:tabs>
      <w:spacing w:line="280" w:lineRule="exact"/>
      <w:ind w:left="288" w:right="288"/>
    </w:pPr>
    <w:rPr>
      <w:b/>
      <w:bCs/>
      <w:i/>
      <w:iCs/>
    </w:rPr>
  </w:style>
  <w:style w:type="paragraph" w:customStyle="1" w:styleId="summary">
    <w:name w:val="summary"/>
    <w:basedOn w:val="pB"/>
    <w:next w:val="projtitle"/>
    <w:rsid w:val="00D842FF"/>
    <w:pPr>
      <w:tabs>
        <w:tab w:val="clear" w:pos="720"/>
        <w:tab w:val="clear" w:pos="1080"/>
        <w:tab w:val="left" w:pos="-1170"/>
      </w:tabs>
      <w:spacing w:after="240"/>
    </w:pPr>
  </w:style>
  <w:style w:type="paragraph" w:customStyle="1" w:styleId="For">
    <w:name w:val="For"/>
    <w:basedOn w:val="Normal"/>
    <w:next w:val="Contact"/>
    <w:rsid w:val="00D842FF"/>
    <w:pPr>
      <w:keepNext/>
      <w:keepLines/>
      <w:tabs>
        <w:tab w:val="left" w:pos="720"/>
        <w:tab w:val="left" w:pos="1080"/>
      </w:tabs>
      <w:spacing w:line="280" w:lineRule="exact"/>
      <w:ind w:left="1152" w:right="288"/>
    </w:pPr>
  </w:style>
  <w:style w:type="paragraph" w:customStyle="1" w:styleId="Contact">
    <w:name w:val="Contact"/>
    <w:basedOn w:val="Normal"/>
    <w:next w:val="summary"/>
    <w:rsid w:val="00D842FF"/>
    <w:pPr>
      <w:keepNext/>
      <w:keepLines/>
      <w:tabs>
        <w:tab w:val="left" w:pos="720"/>
        <w:tab w:val="left" w:pos="1080"/>
      </w:tabs>
      <w:spacing w:line="280" w:lineRule="exact"/>
      <w:ind w:left="1152" w:right="288"/>
    </w:pPr>
  </w:style>
  <w:style w:type="paragraph" w:customStyle="1" w:styleId="question">
    <w:name w:val="question"/>
    <w:basedOn w:val="pF"/>
    <w:rsid w:val="00D842FF"/>
    <w:pPr>
      <w:ind w:hanging="720"/>
    </w:pPr>
  </w:style>
  <w:style w:type="paragraph" w:styleId="TOC6">
    <w:name w:val="toc 6"/>
    <w:basedOn w:val="Normal"/>
    <w:next w:val="Normal"/>
    <w:rsid w:val="00D842FF"/>
    <w:pPr>
      <w:tabs>
        <w:tab w:val="right" w:leader="dot" w:pos="9000"/>
      </w:tabs>
      <w:spacing w:line="240" w:lineRule="auto"/>
      <w:ind w:left="1200"/>
    </w:pPr>
  </w:style>
  <w:style w:type="paragraph" w:customStyle="1" w:styleId="Variabledefinition">
    <w:name w:val="Variable definition"/>
    <w:basedOn w:val="pD"/>
    <w:rsid w:val="00D842FF"/>
    <w:pPr>
      <w:tabs>
        <w:tab w:val="left" w:pos="720"/>
        <w:tab w:val="left" w:pos="1440"/>
        <w:tab w:val="left" w:pos="2160"/>
      </w:tabs>
      <w:ind w:left="2520" w:hanging="1800"/>
    </w:pPr>
    <w:rPr>
      <w:i/>
      <w:iCs/>
    </w:rPr>
  </w:style>
  <w:style w:type="paragraph" w:customStyle="1" w:styleId="tablefootnote">
    <w:name w:val="table footnote"/>
    <w:basedOn w:val="Normal"/>
    <w:link w:val="tablefootnoteChar"/>
    <w:rsid w:val="008E2E63"/>
    <w:pPr>
      <w:keepNext/>
      <w:keepLines/>
      <w:tabs>
        <w:tab w:val="left" w:pos="274"/>
      </w:tabs>
      <w:spacing w:before="60" w:after="0" w:line="240" w:lineRule="auto"/>
      <w:ind w:left="274" w:hanging="274"/>
    </w:pPr>
    <w:rPr>
      <w:sz w:val="20"/>
      <w:szCs w:val="20"/>
    </w:rPr>
  </w:style>
  <w:style w:type="paragraph" w:styleId="TableofFigures">
    <w:name w:val="table of figures"/>
    <w:basedOn w:val="Normal"/>
    <w:next w:val="Normal"/>
    <w:uiPriority w:val="99"/>
    <w:rsid w:val="00F70106"/>
    <w:pPr>
      <w:tabs>
        <w:tab w:val="right" w:leader="dot" w:pos="9000"/>
      </w:tabs>
      <w:spacing w:before="120" w:after="130" w:line="240" w:lineRule="auto"/>
      <w:ind w:left="475" w:right="720" w:hanging="475"/>
    </w:pPr>
    <w:rPr>
      <w:rFonts w:ascii="Arial" w:hAnsi="Arial" w:cs="Arial"/>
    </w:rPr>
  </w:style>
  <w:style w:type="paragraph" w:styleId="BalloonText">
    <w:name w:val="Balloon Text"/>
    <w:basedOn w:val="Normal"/>
    <w:rsid w:val="00D842FF"/>
    <w:rPr>
      <w:rFonts w:ascii="Tahoma" w:hAnsi="Tahoma" w:cs="Tahoma"/>
      <w:sz w:val="16"/>
      <w:szCs w:val="16"/>
    </w:rPr>
  </w:style>
  <w:style w:type="character" w:styleId="CommentReference">
    <w:name w:val="annotation reference"/>
    <w:basedOn w:val="DefaultParagraphFont"/>
    <w:uiPriority w:val="99"/>
    <w:rsid w:val="00D842FF"/>
    <w:rPr>
      <w:sz w:val="16"/>
    </w:rPr>
  </w:style>
  <w:style w:type="paragraph" w:styleId="CommentText">
    <w:name w:val="annotation text"/>
    <w:basedOn w:val="Normal"/>
    <w:link w:val="CommentTextChar"/>
    <w:uiPriority w:val="99"/>
    <w:rsid w:val="00D842FF"/>
    <w:rPr>
      <w:sz w:val="20"/>
      <w:szCs w:val="20"/>
    </w:rPr>
  </w:style>
  <w:style w:type="paragraph" w:styleId="CommentSubject">
    <w:name w:val="annotation subject"/>
    <w:basedOn w:val="CommentText"/>
    <w:next w:val="CommentText"/>
    <w:rsid w:val="00D842FF"/>
    <w:rPr>
      <w:b/>
      <w:bCs/>
    </w:rPr>
  </w:style>
  <w:style w:type="paragraph" w:styleId="DocumentMap">
    <w:name w:val="Document Map"/>
    <w:basedOn w:val="Normal"/>
    <w:rsid w:val="00D842FF"/>
    <w:pPr>
      <w:shd w:val="clear" w:color="auto" w:fill="000080"/>
    </w:pPr>
    <w:rPr>
      <w:rFonts w:ascii="Tahoma" w:hAnsi="Tahoma" w:cs="Tahoma"/>
    </w:rPr>
  </w:style>
  <w:style w:type="character" w:styleId="PageNumber">
    <w:name w:val="page number"/>
    <w:basedOn w:val="DefaultParagraphFont"/>
    <w:rsid w:val="00D842FF"/>
  </w:style>
  <w:style w:type="table" w:styleId="TableGrid">
    <w:name w:val="Table Grid"/>
    <w:basedOn w:val="TableNormal"/>
    <w:uiPriority w:val="59"/>
    <w:rsid w:val="00D842F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TitleSub"/>
    <w:link w:val="TitleChar"/>
    <w:uiPriority w:val="10"/>
    <w:qFormat/>
    <w:rsid w:val="00E251FF"/>
    <w:pPr>
      <w:spacing w:after="0" w:line="240" w:lineRule="auto"/>
      <w:contextualSpacing/>
      <w:jc w:val="right"/>
    </w:pPr>
    <w:rPr>
      <w:rFonts w:ascii="Arial" w:hAnsi="Arial"/>
      <w:b/>
      <w:color w:val="17365D"/>
      <w:spacing w:val="5"/>
      <w:kern w:val="28"/>
      <w:sz w:val="40"/>
      <w:szCs w:val="52"/>
    </w:rPr>
  </w:style>
  <w:style w:type="character" w:styleId="Hyperlink">
    <w:name w:val="Hyperlink"/>
    <w:basedOn w:val="DefaultParagraphFont"/>
    <w:rsid w:val="00D842FF"/>
    <w:rPr>
      <w:color w:val="0000FF"/>
      <w:u w:val="single"/>
    </w:rPr>
  </w:style>
  <w:style w:type="paragraph" w:customStyle="1" w:styleId="CEUSIndent5">
    <w:name w:val="CEUS_Indent5"/>
    <w:basedOn w:val="pE"/>
    <w:rsid w:val="00D842FF"/>
    <w:pPr>
      <w:ind w:left="2070" w:hanging="432"/>
    </w:pPr>
    <w:rPr>
      <w:szCs w:val="20"/>
    </w:rPr>
  </w:style>
  <w:style w:type="paragraph" w:styleId="ListBullet2">
    <w:name w:val="List Bullet 2"/>
    <w:basedOn w:val="Normal"/>
    <w:rsid w:val="00D842FF"/>
    <w:pPr>
      <w:numPr>
        <w:numId w:val="3"/>
      </w:numPr>
      <w:contextualSpacing/>
    </w:pPr>
  </w:style>
  <w:style w:type="numbering" w:customStyle="1" w:styleId="Itron">
    <w:name w:val="Itron"/>
    <w:uiPriority w:val="99"/>
    <w:rsid w:val="008F6F18"/>
    <w:pPr>
      <w:numPr>
        <w:numId w:val="1"/>
      </w:numPr>
    </w:pPr>
  </w:style>
  <w:style w:type="numbering" w:customStyle="1" w:styleId="CnAListBullets">
    <w:name w:val="CnAListBullets"/>
    <w:uiPriority w:val="99"/>
    <w:rsid w:val="00D842FF"/>
    <w:pPr>
      <w:numPr>
        <w:numId w:val="2"/>
      </w:numPr>
    </w:pPr>
  </w:style>
  <w:style w:type="paragraph" w:styleId="ListParagraph">
    <w:name w:val="List Paragraph"/>
    <w:basedOn w:val="Normal"/>
    <w:uiPriority w:val="34"/>
    <w:qFormat/>
    <w:rsid w:val="00D842FF"/>
    <w:pPr>
      <w:spacing w:after="80"/>
    </w:pPr>
  </w:style>
  <w:style w:type="paragraph" w:customStyle="1" w:styleId="CoverTitle">
    <w:name w:val="CoverTitle"/>
    <w:basedOn w:val="Normal"/>
    <w:link w:val="CoverTitleChar"/>
    <w:qFormat/>
    <w:rsid w:val="00D842FF"/>
    <w:pPr>
      <w:spacing w:after="120"/>
      <w:jc w:val="center"/>
    </w:pPr>
    <w:rPr>
      <w:rFonts w:ascii="Arial" w:hAnsi="Arial"/>
      <w:b/>
      <w:sz w:val="40"/>
    </w:rPr>
  </w:style>
  <w:style w:type="character" w:customStyle="1" w:styleId="CoverTitleChar">
    <w:name w:val="CoverTitle Char"/>
    <w:basedOn w:val="DefaultParagraphFont"/>
    <w:link w:val="CoverTitle"/>
    <w:rsid w:val="00D842FF"/>
    <w:rPr>
      <w:rFonts w:ascii="Arial" w:hAnsi="Arial"/>
      <w:b/>
      <w:sz w:val="40"/>
      <w:szCs w:val="24"/>
    </w:rPr>
  </w:style>
  <w:style w:type="paragraph" w:customStyle="1" w:styleId="CoverNormal">
    <w:name w:val="CoverNormal"/>
    <w:basedOn w:val="Normal"/>
    <w:link w:val="CoverNormalChar"/>
    <w:qFormat/>
    <w:rsid w:val="00D842FF"/>
    <w:pPr>
      <w:contextualSpacing/>
      <w:jc w:val="center"/>
    </w:pPr>
    <w:rPr>
      <w:rFonts w:ascii="Arial" w:hAnsi="Arial"/>
    </w:rPr>
  </w:style>
  <w:style w:type="character" w:customStyle="1" w:styleId="CoverNormalChar">
    <w:name w:val="CoverNormal Char"/>
    <w:basedOn w:val="DefaultParagraphFont"/>
    <w:link w:val="CoverNormal"/>
    <w:rsid w:val="00D842FF"/>
    <w:rPr>
      <w:rFonts w:ascii="Arial" w:hAnsi="Arial"/>
      <w:sz w:val="24"/>
      <w:szCs w:val="24"/>
    </w:rPr>
  </w:style>
  <w:style w:type="paragraph" w:customStyle="1" w:styleId="Halfline">
    <w:name w:val="Halfline"/>
    <w:basedOn w:val="Normal"/>
    <w:next w:val="Normal"/>
    <w:link w:val="HalflineChar"/>
    <w:qFormat/>
    <w:rsid w:val="00DE632E"/>
    <w:pPr>
      <w:spacing w:after="130" w:line="130" w:lineRule="exact"/>
      <w:jc w:val="left"/>
    </w:pPr>
  </w:style>
  <w:style w:type="character" w:customStyle="1" w:styleId="HalflineChar">
    <w:name w:val="Halfline Char"/>
    <w:basedOn w:val="DefaultParagraphFont"/>
    <w:link w:val="Halfline"/>
    <w:rsid w:val="00DE632E"/>
    <w:rPr>
      <w:rFonts w:ascii="Times New Roman" w:hAnsi="Times New Roman"/>
      <w:sz w:val="24"/>
      <w:szCs w:val="24"/>
    </w:rPr>
  </w:style>
  <w:style w:type="paragraph" w:customStyle="1" w:styleId="LetterheadParagraph">
    <w:name w:val="Letterhead Paragraph"/>
    <w:basedOn w:val="Normal"/>
    <w:qFormat/>
    <w:rsid w:val="00573DEC"/>
    <w:pPr>
      <w:spacing w:after="0"/>
    </w:pPr>
    <w:rPr>
      <w:rFonts w:ascii="Arial Narrow" w:hAnsi="Arial Narrow"/>
    </w:rPr>
  </w:style>
  <w:style w:type="character" w:customStyle="1" w:styleId="FootnoteTextChar">
    <w:name w:val="Footnote Text Char"/>
    <w:basedOn w:val="DefaultParagraphFont"/>
    <w:link w:val="FootnoteText"/>
    <w:rsid w:val="000073BE"/>
  </w:style>
  <w:style w:type="character" w:customStyle="1" w:styleId="tablefootnoteChar">
    <w:name w:val="table footnote Char"/>
    <w:basedOn w:val="DefaultParagraphFont"/>
    <w:link w:val="tablefootnote"/>
    <w:rsid w:val="009D0319"/>
    <w:rPr>
      <w:rFonts w:ascii="Times New Roman" w:hAnsi="Times New Roman"/>
    </w:rPr>
  </w:style>
  <w:style w:type="paragraph" w:customStyle="1" w:styleId="TitleSub">
    <w:name w:val="TitleSub"/>
    <w:basedOn w:val="Title"/>
    <w:link w:val="TitleSubChar"/>
    <w:autoRedefine/>
    <w:qFormat/>
    <w:rsid w:val="00682A57"/>
    <w:rPr>
      <w:b w:val="0"/>
      <w:sz w:val="32"/>
    </w:rPr>
  </w:style>
  <w:style w:type="character" w:customStyle="1" w:styleId="TitleSubChar">
    <w:name w:val="TitleSub Char"/>
    <w:basedOn w:val="TitleChar"/>
    <w:link w:val="TitleSub"/>
    <w:rsid w:val="00682A57"/>
    <w:rPr>
      <w:sz w:val="32"/>
    </w:rPr>
  </w:style>
  <w:style w:type="character" w:customStyle="1" w:styleId="TitleChar">
    <w:name w:val="Title Char"/>
    <w:basedOn w:val="DefaultParagraphFont"/>
    <w:link w:val="Title"/>
    <w:uiPriority w:val="10"/>
    <w:rsid w:val="00E251FF"/>
    <w:rPr>
      <w:rFonts w:ascii="Arial" w:hAnsi="Arial"/>
      <w:b/>
      <w:color w:val="17365D"/>
      <w:spacing w:val="5"/>
      <w:kern w:val="28"/>
      <w:sz w:val="40"/>
      <w:szCs w:val="52"/>
    </w:rPr>
  </w:style>
  <w:style w:type="paragraph" w:customStyle="1" w:styleId="TitleAdd">
    <w:name w:val="TitleAdd"/>
    <w:basedOn w:val="Title"/>
    <w:link w:val="TitleAddChar"/>
    <w:autoRedefine/>
    <w:qFormat/>
    <w:rsid w:val="00682A57"/>
    <w:rPr>
      <w:b w:val="0"/>
      <w:sz w:val="24"/>
      <w:szCs w:val="32"/>
    </w:rPr>
  </w:style>
  <w:style w:type="character" w:customStyle="1" w:styleId="TitleAddChar">
    <w:name w:val="TitleAdd Char"/>
    <w:basedOn w:val="TitleChar"/>
    <w:link w:val="TitleAdd"/>
    <w:rsid w:val="00682A57"/>
    <w:rPr>
      <w:sz w:val="24"/>
      <w:szCs w:val="32"/>
    </w:rPr>
  </w:style>
  <w:style w:type="character" w:customStyle="1" w:styleId="CommentTextChar">
    <w:name w:val="Comment Text Char"/>
    <w:basedOn w:val="DefaultParagraphFont"/>
    <w:link w:val="CommentText"/>
    <w:uiPriority w:val="99"/>
    <w:rsid w:val="00B253DF"/>
    <w:rPr>
      <w:rFonts w:ascii="Times New Roman" w:hAnsi="Times New Roman"/>
    </w:rPr>
  </w:style>
  <w:style w:type="table" w:customStyle="1" w:styleId="ItronBasic">
    <w:name w:val="ItronBasic"/>
    <w:basedOn w:val="TableNormal"/>
    <w:uiPriority w:val="99"/>
    <w:qFormat/>
    <w:rsid w:val="00B2276F"/>
    <w:pPr>
      <w:spacing w:after="0" w:line="240" w:lineRule="auto"/>
      <w:ind w:left="0" w:firstLine="0"/>
      <w:jc w:val="left"/>
    </w:p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hemeFill="background1" w:themeFillShade="D9"/>
      </w:tcPr>
    </w:tblStylePr>
  </w:style>
  <w:style w:type="table" w:styleId="TableProfessional">
    <w:name w:val="Table Professional"/>
    <w:basedOn w:val="TableNormal"/>
    <w:rsid w:val="0050194C"/>
    <w:pPr>
      <w:spacing w:after="280"/>
      <w:ind w:left="0" w:firstLine="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rsid w:val="0050194C"/>
    <w:pPr>
      <w:autoSpaceDE w:val="0"/>
      <w:autoSpaceDN w:val="0"/>
      <w:adjustRightInd w:val="0"/>
      <w:spacing w:after="0" w:line="240" w:lineRule="auto"/>
      <w:ind w:left="0" w:firstLine="0"/>
      <w:jc w:val="left"/>
    </w:pPr>
    <w:rPr>
      <w:rFonts w:ascii="Times New Roman" w:eastAsiaTheme="minorHAnsi" w:hAnsi="Times New Roman"/>
      <w:color w:val="000000"/>
      <w:sz w:val="24"/>
      <w:szCs w:val="24"/>
    </w:rPr>
  </w:style>
  <w:style w:type="character" w:customStyle="1" w:styleId="HeaderChar">
    <w:name w:val="Header Char"/>
    <w:basedOn w:val="DefaultParagraphFont"/>
    <w:link w:val="Header"/>
    <w:rsid w:val="00D5435A"/>
    <w:rPr>
      <w:i/>
      <w:iCs/>
      <w:sz w:val="24"/>
      <w:szCs w:val="24"/>
    </w:rPr>
  </w:style>
  <w:style w:type="paragraph" w:styleId="Revision">
    <w:name w:val="Revision"/>
    <w:hidden/>
    <w:uiPriority w:val="99"/>
    <w:semiHidden/>
    <w:rsid w:val="00F85A43"/>
    <w:pPr>
      <w:spacing w:after="0" w:line="240" w:lineRule="auto"/>
      <w:ind w:left="0" w:firstLine="0"/>
      <w:jc w:val="left"/>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84419769">
      <w:bodyDiv w:val="1"/>
      <w:marLeft w:val="0"/>
      <w:marRight w:val="0"/>
      <w:marTop w:val="0"/>
      <w:marBottom w:val="0"/>
      <w:divBdr>
        <w:top w:val="none" w:sz="0" w:space="0" w:color="auto"/>
        <w:left w:val="none" w:sz="0" w:space="0" w:color="auto"/>
        <w:bottom w:val="none" w:sz="0" w:space="0" w:color="auto"/>
        <w:right w:val="none" w:sz="0" w:space="0" w:color="auto"/>
      </w:divBdr>
    </w:div>
    <w:div w:id="188883173">
      <w:bodyDiv w:val="1"/>
      <w:marLeft w:val="0"/>
      <w:marRight w:val="0"/>
      <w:marTop w:val="0"/>
      <w:marBottom w:val="0"/>
      <w:divBdr>
        <w:top w:val="none" w:sz="0" w:space="0" w:color="auto"/>
        <w:left w:val="none" w:sz="0" w:space="0" w:color="auto"/>
        <w:bottom w:val="none" w:sz="0" w:space="0" w:color="auto"/>
        <w:right w:val="none" w:sz="0" w:space="0" w:color="auto"/>
      </w:divBdr>
    </w:div>
    <w:div w:id="431358967">
      <w:bodyDiv w:val="1"/>
      <w:marLeft w:val="0"/>
      <w:marRight w:val="0"/>
      <w:marTop w:val="0"/>
      <w:marBottom w:val="0"/>
      <w:divBdr>
        <w:top w:val="none" w:sz="0" w:space="0" w:color="auto"/>
        <w:left w:val="none" w:sz="0" w:space="0" w:color="auto"/>
        <w:bottom w:val="none" w:sz="0" w:space="0" w:color="auto"/>
        <w:right w:val="none" w:sz="0" w:space="0" w:color="auto"/>
      </w:divBdr>
    </w:div>
    <w:div w:id="1012143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Office_Excel_Worksheet1.xls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Office_Excel_Worksheet5.xls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Office_Excel_Worksheet3.xlsx"/><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Office_Excel_Worksheet2.xlsx"/><Relationship Id="rId23" Type="http://schemas.openxmlformats.org/officeDocument/2006/relationships/footer" Target="footer3.xml"/><Relationship Id="rId10" Type="http://schemas.openxmlformats.org/officeDocument/2006/relationships/header" Target="header2.xml"/><Relationship Id="rId19" Type="http://schemas.openxmlformats.org/officeDocument/2006/relationships/package" Target="embeddings/Microsoft_Office_Excel_Worksheet4.xlsx"/><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emf"/><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8622F-B349-4EE0-8532-4022F671A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1646</Words>
  <Characters>9095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Itron</Company>
  <LinksUpToDate>false</LinksUpToDate>
  <CharactersWithSpaces>10720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Messenger, Mike</dc:creator>
  <cp:lastModifiedBy>S L Harris</cp:lastModifiedBy>
  <cp:revision>3</cp:revision>
  <cp:lastPrinted>2009-01-22T17:29:00Z</cp:lastPrinted>
  <dcterms:created xsi:type="dcterms:W3CDTF">2011-10-28T18:13:00Z</dcterms:created>
  <dcterms:modified xsi:type="dcterms:W3CDTF">2011-10-28T23:20:00Z</dcterms:modified>
</cp:coreProperties>
</file>